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jc w:val="center"/>
        <w:outlineLvl w:val="0"/>
        <w:rPr>
          <w:b/>
          <w:bCs/>
          <w:sz w:val="32"/>
          <w:szCs w:val="32"/>
          <w:lang w:eastAsia="zh-CN"/>
        </w:rPr>
      </w:pPr>
      <w:r>
        <w:rPr>
          <w:rFonts w:hint="eastAsia" w:hAnsi="宋体" w:cs="黑体"/>
          <w:b/>
          <w:kern w:val="0"/>
        </w:rPr>
        <w:t>1</w:t>
      </w:r>
      <w:r>
        <w:rPr>
          <w:rFonts w:hAnsi="宋体" w:cs="黑体"/>
          <w:b/>
          <w:kern w:val="0"/>
        </w:rPr>
        <w:t>8</w:t>
      </w:r>
      <w:r>
        <w:rPr>
          <w:rFonts w:hint="eastAsia" w:hAnsi="宋体" w:cs="黑体"/>
          <w:b/>
          <w:kern w:val="0"/>
        </w:rPr>
        <w:t>吨纯电动洗扫车</w:t>
      </w:r>
    </w:p>
    <w:tbl>
      <w:tblPr>
        <w:tblStyle w:val="4"/>
        <w:tblpPr w:leftFromText="180" w:rightFromText="180" w:vertAnchor="text" w:horzAnchor="page" w:tblpX="1917"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19"/>
        <w:gridCol w:w="3620"/>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4" w:hRule="atLeast"/>
        </w:trPr>
        <w:tc>
          <w:tcPr>
            <w:tcW w:w="1219"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项目</w:t>
            </w: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项目名称</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技术规格及参数要求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85" w:hRule="atLeast"/>
        </w:trPr>
        <w:tc>
          <w:tcPr>
            <w:tcW w:w="1219" w:type="dxa"/>
            <w:vMerge w:val="restart"/>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整车参数</w:t>
            </w: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长（mm）</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≤8</w:t>
            </w:r>
            <w:r>
              <w:rPr>
                <w:rFonts w:ascii="宋体" w:hAnsi="宋体" w:cs="黑体"/>
                <w:kern w:val="0"/>
                <w:szCs w:val="21"/>
              </w:rPr>
              <w:t>80</w:t>
            </w:r>
            <w:r>
              <w:rPr>
                <w:rFonts w:hint="eastAsia" w:ascii="宋体" w:hAnsi="宋体" w:cs="黑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6"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宽（mm）</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≤2</w:t>
            </w:r>
            <w:r>
              <w:rPr>
                <w:rFonts w:ascii="宋体" w:hAnsi="宋体" w:cs="黑体"/>
                <w:kern w:val="0"/>
                <w:szCs w:val="21"/>
              </w:rPr>
              <w:t>50</w:t>
            </w:r>
            <w:r>
              <w:rPr>
                <w:rFonts w:hint="eastAsia" w:ascii="宋体" w:hAnsi="宋体" w:cs="黑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4"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高（mm）</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3"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总轴距（mm）</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52</w:t>
            </w:r>
            <w:r>
              <w:rPr>
                <w:rFonts w:hint="eastAsia" w:ascii="宋体" w:hAnsi="宋体" w:cs="黑体"/>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4"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总质量（kg）</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整备质量（kg）</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额定载质量（kg）</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restart"/>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电动部分</w:t>
            </w: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动力电池类型</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磷酸铁锂（或优于其性能）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9"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电池电量(kWh)</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9"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储能装置总成标称电压（V）</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≥5</w:t>
            </w:r>
            <w:r>
              <w:rPr>
                <w:rFonts w:ascii="宋体" w:hAnsi="宋体" w:cs="黑体"/>
                <w:kern w:val="0"/>
                <w:szCs w:val="21"/>
              </w:rPr>
              <w:t>7</w:t>
            </w:r>
            <w:r>
              <w:rPr>
                <w:rFonts w:hint="eastAsia" w:ascii="宋体" w:hAnsi="宋体" w:cs="黑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9"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动力蓄电池总成标称容量（Ah）</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54</w:t>
            </w:r>
            <w:r>
              <w:rPr>
                <w:rFonts w:hint="eastAsia" w:ascii="宋体" w:hAnsi="宋体" w:cs="黑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底盘驱动电机峰值功率（kW）</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≥1</w:t>
            </w:r>
            <w:r>
              <w:rPr>
                <w:rFonts w:ascii="宋体" w:hAnsi="宋体" w:cs="黑体"/>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restart"/>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专用部分</w:t>
            </w: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清水箱容积（m³）</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362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污水箱容积（m³）</w:t>
            </w:r>
          </w:p>
        </w:tc>
        <w:tc>
          <w:tcPr>
            <w:tcW w:w="3126"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tcBorders>
              <w:bottom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3620" w:type="dxa"/>
            <w:tcBorders>
              <w:bottom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洗扫宽度（m）</w:t>
            </w:r>
          </w:p>
        </w:tc>
        <w:tc>
          <w:tcPr>
            <w:tcW w:w="3126" w:type="dxa"/>
            <w:tcBorders>
              <w:bottom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≥3</w:t>
            </w:r>
            <w:r>
              <w:rPr>
                <w:rFonts w:ascii="宋体" w:hAnsi="宋体" w:cs="黑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其他部分</w:t>
            </w:r>
          </w:p>
        </w:tc>
        <w:tc>
          <w:tcPr>
            <w:tcW w:w="674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底盘采用的电池、驱动电机、整车控制器防护等级均需达到IP67等级，确保整车安全。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674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ascii="宋体" w:hAnsi="宋体" w:cs="黑体"/>
                <w:kern w:val="0"/>
                <w:szCs w:val="21"/>
              </w:rPr>
              <w:t>底盘动力电池需采用国家提倡的安全电池品牌，电池能量密度不低于135Wh/kg,安全可靠性好，质保期不小于5年。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674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rPr>
                <w:rFonts w:ascii="宋体" w:hAnsi="宋体" w:cs="黑体"/>
                <w:kern w:val="0"/>
                <w:szCs w:val="21"/>
              </w:rPr>
            </w:pPr>
            <w:r>
              <w:rPr>
                <w:rFonts w:hint="eastAsia" w:ascii="宋体" w:hAnsi="宋体" w:cs="黑体"/>
                <w:kern w:val="0"/>
                <w:szCs w:val="21"/>
              </w:rPr>
              <w:t>为提高驾驶的舒适性，底盘驾驶室内需配备电动冷暖空调。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674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车辆的水箱内应设置低水位传感报警系统，无水时自动报警，防止水泵缺水损坏。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674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采用“中置两立扫＋中置左右高压水喷杆＋中置双吸口宽吸嘴”的结构布置形式，便于调整和维护，整车通过性好。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674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具有道路清扫、道路冲洗、污水回收、箱体自洁等多种作业功能，配备有高压喷枪，能对全车进行自清洁，还能对人行步道及街道小广告等进行清洗和清除。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674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配有气力净管防冻装置，防止冬季因水道管路残留积水结冰导致喷水系统元件的损害。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6746"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6"/>
              <w:spacing w:before="79"/>
              <w:jc w:val="left"/>
              <w:rPr>
                <w:rFonts w:cs="黑体"/>
                <w:kern w:val="0"/>
                <w:szCs w:val="21"/>
                <w:lang w:val="en-US" w:bidi="ar-SA"/>
              </w:rPr>
            </w:pPr>
            <w:r>
              <w:rPr>
                <w:rFonts w:hint="eastAsia" w:cs="黑体"/>
                <w:kern w:val="0"/>
                <w:szCs w:val="21"/>
                <w:lang w:val="en-US" w:bidi="ar-SA"/>
              </w:rPr>
              <w:t>为了保证车辆电池的安全，并防止发生操作人员误触碰而产生安全事故，电池需要设计单独的箱体。</w:t>
            </w:r>
          </w:p>
        </w:tc>
      </w:tr>
    </w:tbl>
    <w:p>
      <w:pPr>
        <w:pStyle w:val="3"/>
        <w:spacing w:before="312" w:beforeLines="100" w:after="312" w:afterLines="100" w:line="200" w:lineRule="exact"/>
        <w:jc w:val="center"/>
        <w:outlineLvl w:val="0"/>
        <w:rPr>
          <w:rFonts w:hint="eastAsia" w:hAnsi="宋体" w:cs="黑体"/>
          <w:b/>
          <w:kern w:val="0"/>
          <w:lang w:eastAsia="zh-CN"/>
        </w:rPr>
      </w:pPr>
      <w:r>
        <w:rPr>
          <w:b/>
          <w:bCs/>
          <w:sz w:val="32"/>
          <w:szCs w:val="32"/>
        </w:rPr>
        <w:br w:type="page"/>
      </w:r>
      <w:r>
        <w:rPr>
          <w:rFonts w:hint="eastAsia" w:hAnsi="宋体" w:cs="黑体"/>
          <w:b/>
          <w:kern w:val="0"/>
        </w:rPr>
        <w:t>1</w:t>
      </w:r>
      <w:r>
        <w:rPr>
          <w:rFonts w:hAnsi="宋体" w:cs="黑体"/>
          <w:b/>
          <w:kern w:val="0"/>
        </w:rPr>
        <w:t>8</w:t>
      </w:r>
      <w:r>
        <w:rPr>
          <w:rFonts w:hint="eastAsia" w:hAnsi="宋体" w:cs="黑体"/>
          <w:b/>
          <w:kern w:val="0"/>
        </w:rPr>
        <w:t>吨纯电动多功能抑尘车</w:t>
      </w:r>
    </w:p>
    <w:tbl>
      <w:tblPr>
        <w:tblStyle w:val="4"/>
        <w:tblpPr w:leftFromText="180" w:rightFromText="180" w:vertAnchor="text" w:horzAnchor="page" w:tblpX="1917"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90"/>
        <w:gridCol w:w="3830"/>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4" w:hRule="atLeast"/>
        </w:trPr>
        <w:tc>
          <w:tcPr>
            <w:tcW w:w="129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bookmarkStart w:id="0" w:name="_Hlk47445658"/>
            <w:r>
              <w:rPr>
                <w:rFonts w:hint="eastAsia" w:ascii="宋体" w:hAnsi="宋体" w:cs="黑体"/>
                <w:kern w:val="0"/>
                <w:szCs w:val="21"/>
              </w:rPr>
              <w:t>项目</w:t>
            </w: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项目名称</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技术规格及参数要求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85" w:hRule="atLeast"/>
        </w:trPr>
        <w:tc>
          <w:tcPr>
            <w:tcW w:w="1290" w:type="dxa"/>
            <w:vMerge w:val="restart"/>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整车参数</w:t>
            </w: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长（mm）</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≥1</w:t>
            </w:r>
            <w:r>
              <w:rPr>
                <w:rFonts w:ascii="宋体" w:hAnsi="宋体" w:cs="黑体"/>
                <w:kern w:val="0"/>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6"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宽（mm）</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≥2</w:t>
            </w:r>
            <w:r>
              <w:rPr>
                <w:rFonts w:ascii="宋体" w:hAnsi="宋体" w:cs="黑体"/>
                <w:kern w:val="0"/>
                <w:szCs w:val="21"/>
              </w:rPr>
              <w:t>40</w:t>
            </w:r>
            <w:r>
              <w:rPr>
                <w:rFonts w:hint="eastAsia" w:ascii="宋体" w:hAnsi="宋体" w:cs="黑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4"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高（mm）</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3"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总轴距（mm）</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53</w:t>
            </w:r>
            <w:r>
              <w:rPr>
                <w:rFonts w:hint="eastAsia" w:ascii="宋体" w:hAnsi="宋体" w:cs="黑体"/>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4"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总质量（kg）</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整备质量（kg）</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11360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restart"/>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电动部分</w:t>
            </w: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动力电池类型</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磷酸铁锂（或优于其性能）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9"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电池电量(kWh)</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9"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储能装置总成标称电压（V）</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≥5</w:t>
            </w:r>
            <w:r>
              <w:rPr>
                <w:rFonts w:ascii="宋体" w:hAnsi="宋体" w:cs="黑体"/>
                <w:kern w:val="0"/>
                <w:szCs w:val="21"/>
              </w:rPr>
              <w:t>7</w:t>
            </w:r>
            <w:r>
              <w:rPr>
                <w:rFonts w:hint="eastAsia" w:ascii="宋体" w:hAnsi="宋体" w:cs="黑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9"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动力蓄电池总成标称容量（Ah）</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54</w:t>
            </w:r>
            <w:r>
              <w:rPr>
                <w:rFonts w:hint="eastAsia" w:ascii="宋体" w:hAnsi="宋体" w:cs="黑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底盘驱动电机峰值功率（kW）</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≥1</w:t>
            </w:r>
            <w:r>
              <w:rPr>
                <w:rFonts w:ascii="宋体" w:hAnsi="宋体" w:cs="黑体"/>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restart"/>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专用部分</w:t>
            </w: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罐体容积（m³）</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3830"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洒水炮射程（m）</w:t>
            </w:r>
          </w:p>
        </w:tc>
        <w:tc>
          <w:tcPr>
            <w:tcW w:w="330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其他部分</w:t>
            </w:r>
          </w:p>
        </w:tc>
        <w:tc>
          <w:tcPr>
            <w:tcW w:w="7138"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底盘采用的电池、驱动电机、整车控制器防护等级均需达到IP67等级，确保整车安全。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38"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ascii="宋体" w:hAnsi="宋体" w:cs="黑体"/>
                <w:kern w:val="0"/>
                <w:szCs w:val="21"/>
              </w:rPr>
              <w:t>底盘动力电池需采用国家提倡的安全电池品牌，电池能量密度不低于135Wh/kg,安全可靠性好，质保期不小于5年。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38"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rPr>
                <w:rFonts w:ascii="宋体" w:hAnsi="宋体" w:cs="黑体"/>
                <w:kern w:val="0"/>
                <w:szCs w:val="21"/>
              </w:rPr>
            </w:pPr>
            <w:r>
              <w:rPr>
                <w:rFonts w:hint="eastAsia" w:ascii="宋体" w:hAnsi="宋体" w:cs="黑体"/>
                <w:kern w:val="0"/>
                <w:szCs w:val="21"/>
              </w:rPr>
              <w:t>为提高驾驶的舒适性，底盘驾驶室内需配备电动冷暖空调。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90"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38"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车辆的水箱内应设置低水位传感报警系统，无水时自动报警，防止水泵缺水损坏。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38"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风炮驱动方式采用电机直驱风炮风扇提供动力，风炮风扇转速可无级调节适应喷洒距离的需要。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38"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具有独立清洗系统，不采用底盘取力清洗作业，清洗速度快，具有喷雾抑尘和前冲、中对冲、后洒、后浇灌等多功能。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38"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配有气力净管防冻装置，防止冬季因水道管路残留积水结冰导致喷水系统元件的损害。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trPr>
        <w:tc>
          <w:tcPr>
            <w:tcW w:w="1290"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38"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6"/>
              <w:spacing w:before="79"/>
              <w:jc w:val="left"/>
              <w:rPr>
                <w:rFonts w:cs="黑体"/>
                <w:kern w:val="0"/>
                <w:szCs w:val="21"/>
                <w:lang w:val="en-US" w:bidi="ar-SA"/>
              </w:rPr>
            </w:pPr>
            <w:r>
              <w:rPr>
                <w:rFonts w:hint="eastAsia" w:cs="黑体"/>
                <w:kern w:val="0"/>
                <w:szCs w:val="21"/>
                <w:lang w:val="en-US" w:bidi="ar-SA"/>
              </w:rPr>
              <w:t>为了保证车辆电池的安全，并防止发生操作人员误触碰而产生安全事故，电池需要设计单独的箱体。</w:t>
            </w:r>
          </w:p>
        </w:tc>
      </w:tr>
      <w:bookmarkEnd w:id="0"/>
    </w:tbl>
    <w:p>
      <w:pPr>
        <w:pStyle w:val="3"/>
        <w:spacing w:before="312" w:beforeLines="100" w:after="312" w:afterLines="100" w:line="200" w:lineRule="exact"/>
        <w:jc w:val="center"/>
        <w:outlineLvl w:val="0"/>
        <w:rPr>
          <w:rFonts w:hint="eastAsia"/>
          <w:b/>
          <w:bCs/>
          <w:sz w:val="32"/>
          <w:szCs w:val="32"/>
          <w:lang w:val="en-US" w:eastAsia="zh-CN"/>
        </w:rPr>
      </w:pPr>
    </w:p>
    <w:p>
      <w:pPr>
        <w:pStyle w:val="3"/>
        <w:spacing w:before="312" w:beforeLines="100" w:after="312" w:afterLines="100" w:line="200" w:lineRule="exact"/>
        <w:jc w:val="center"/>
        <w:outlineLvl w:val="0"/>
        <w:rPr>
          <w:rFonts w:hint="eastAsia"/>
          <w:b/>
          <w:bCs/>
          <w:sz w:val="32"/>
          <w:szCs w:val="32"/>
          <w:lang w:val="en-US" w:eastAsia="zh-CN"/>
        </w:rPr>
      </w:pPr>
    </w:p>
    <w:p>
      <w:pPr>
        <w:pStyle w:val="3"/>
        <w:spacing w:before="312" w:beforeLines="100" w:after="312" w:afterLines="100" w:line="200" w:lineRule="exact"/>
        <w:jc w:val="center"/>
        <w:outlineLvl w:val="0"/>
        <w:rPr>
          <w:rFonts w:hint="eastAsia"/>
          <w:b/>
          <w:bCs/>
          <w:sz w:val="32"/>
          <w:szCs w:val="32"/>
          <w:lang w:val="en-US" w:eastAsia="zh-CN"/>
        </w:rPr>
      </w:pPr>
    </w:p>
    <w:p>
      <w:pPr>
        <w:pStyle w:val="3"/>
        <w:spacing w:before="312" w:beforeLines="100" w:after="312" w:afterLines="100" w:line="200" w:lineRule="exact"/>
        <w:jc w:val="center"/>
        <w:outlineLvl w:val="0"/>
        <w:rPr>
          <w:rFonts w:hint="eastAsia"/>
          <w:b/>
          <w:bCs/>
          <w:sz w:val="32"/>
          <w:szCs w:val="32"/>
          <w:lang w:val="en-US" w:eastAsia="zh-CN"/>
        </w:rPr>
      </w:pPr>
    </w:p>
    <w:p>
      <w:pPr>
        <w:pStyle w:val="3"/>
        <w:spacing w:line="440" w:lineRule="exact"/>
        <w:jc w:val="center"/>
        <w:outlineLvl w:val="0"/>
        <w:rPr>
          <w:rFonts w:hint="eastAsia"/>
          <w:b/>
          <w:bCs/>
          <w:sz w:val="32"/>
          <w:szCs w:val="32"/>
          <w:lang w:val="en-US" w:eastAsia="zh-CN"/>
        </w:rPr>
      </w:pPr>
      <w:r>
        <w:rPr>
          <w:rFonts w:hAnsi="宋体" w:cs="黑体"/>
          <w:b/>
          <w:kern w:val="0"/>
        </w:rPr>
        <w:t>4</w:t>
      </w:r>
      <w:r>
        <w:rPr>
          <w:rFonts w:hint="eastAsia" w:hAnsi="宋体" w:cs="黑体"/>
          <w:b/>
          <w:kern w:val="0"/>
        </w:rPr>
        <w:t>吨纯电动扫路车</w:t>
      </w:r>
    </w:p>
    <w:tbl>
      <w:tblPr>
        <w:tblStyle w:val="4"/>
        <w:tblpPr w:leftFromText="180" w:rightFromText="180" w:vertAnchor="text" w:horzAnchor="page" w:tblpX="1917"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94"/>
        <w:gridCol w:w="3842"/>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1294"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项目</w:t>
            </w: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项目名称</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技术规格及参数要求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86" w:hRule="atLeast"/>
        </w:trPr>
        <w:tc>
          <w:tcPr>
            <w:tcW w:w="1294" w:type="dxa"/>
            <w:vMerge w:val="restart"/>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整车参数</w:t>
            </w: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长（mm）</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7"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宽（mm）</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高（mm）</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4"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总轴距（mm）</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5"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总质量（kg）</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4490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整备质量（kg）</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restart"/>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电动部分</w:t>
            </w: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动力电池类型</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磷酸铁锂（或优于其性能）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0"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电池电量(kWh)</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0"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储能装置总成标称电压（V）</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≥3</w:t>
            </w:r>
            <w:r>
              <w:rPr>
                <w:rFonts w:ascii="宋体" w:hAnsi="宋体" w:cs="黑体"/>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0"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动力蓄电池总成标称容量（Ah）</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≥1</w:t>
            </w:r>
            <w:r>
              <w:rPr>
                <w:rFonts w:ascii="宋体" w:hAnsi="宋体" w:cs="黑体"/>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continue"/>
            <w:shd w:val="clear" w:color="auto" w:fill="FFFFFF"/>
            <w:noWrap w:val="0"/>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底盘驱动电机峰值功率（kW）</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≥7</w:t>
            </w:r>
            <w:r>
              <w:rPr>
                <w:rFonts w:ascii="宋体" w:hAnsi="宋体" w:cs="黑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continue"/>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3842"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垃圾箱容积（m³）</w:t>
            </w:r>
          </w:p>
        </w:tc>
        <w:tc>
          <w:tcPr>
            <w:tcW w:w="3318" w:type="dxa"/>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continue"/>
            <w:tcBorders>
              <w:bottom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3842" w:type="dxa"/>
            <w:tcBorders>
              <w:bottom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水箱容积（m³）</w:t>
            </w:r>
          </w:p>
        </w:tc>
        <w:tc>
          <w:tcPr>
            <w:tcW w:w="3318" w:type="dxa"/>
            <w:tcBorders>
              <w:bottom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w:t>
            </w:r>
            <w:r>
              <w:rPr>
                <w:rFonts w:ascii="宋体" w:hAnsi="宋体" w:cs="黑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r>
              <w:rPr>
                <w:rFonts w:hint="eastAsia" w:ascii="宋体" w:hAnsi="宋体" w:cs="黑体"/>
                <w:kern w:val="0"/>
                <w:szCs w:val="21"/>
              </w:rPr>
              <w:t>其他部分</w:t>
            </w:r>
          </w:p>
        </w:tc>
        <w:tc>
          <w:tcPr>
            <w:tcW w:w="7159"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底盘采用的电池、驱动电机、整车控制器防护等级均需达到IP67等级，确保整车安全。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59"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ascii="宋体" w:hAnsi="宋体" w:cs="黑体"/>
                <w:kern w:val="0"/>
                <w:szCs w:val="21"/>
              </w:rPr>
              <w:t>底盘动力电池需采用国家提倡的安全电池品牌，电池能量密度不低于135Wh/kg,安全可靠性好，质保期不小于5年。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59"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rPr>
                <w:rFonts w:ascii="宋体" w:hAnsi="宋体" w:cs="黑体"/>
                <w:kern w:val="0"/>
                <w:szCs w:val="21"/>
              </w:rPr>
            </w:pPr>
            <w:r>
              <w:rPr>
                <w:rFonts w:hint="eastAsia" w:ascii="宋体" w:hAnsi="宋体" w:cs="黑体"/>
                <w:kern w:val="0"/>
                <w:szCs w:val="21"/>
              </w:rPr>
              <w:t>整车采用C</w:t>
            </w:r>
            <w:r>
              <w:rPr>
                <w:rFonts w:ascii="宋体" w:hAnsi="宋体" w:cs="黑体"/>
                <w:kern w:val="0"/>
                <w:szCs w:val="21"/>
              </w:rPr>
              <w:t>AN</w:t>
            </w:r>
            <w:r>
              <w:rPr>
                <w:rFonts w:hint="eastAsia" w:ascii="宋体" w:hAnsi="宋体" w:cs="黑体"/>
                <w:kern w:val="0"/>
                <w:szCs w:val="21"/>
              </w:rPr>
              <w:t>总线控制，通过整车控制器对整车电器（包括电机控制器，车身电器等）进行控制，具有整车状态显示和故障诊断功能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59"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清扫装置具有遇障自动避让保护功能和自动复位功能，扫盘遇到障碍物后自动回缩，越过障碍物后自动复位。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59"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风机采用电机直联驱动，简化故障点。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 w:hRule="atLeast"/>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黑体"/>
                <w:kern w:val="0"/>
                <w:szCs w:val="21"/>
              </w:rPr>
            </w:pPr>
          </w:p>
        </w:tc>
        <w:tc>
          <w:tcPr>
            <w:tcW w:w="7159"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before="100" w:beforeAutospacing="1" w:after="100" w:afterAutospacing="1"/>
              <w:jc w:val="left"/>
              <w:rPr>
                <w:rFonts w:ascii="宋体" w:hAnsi="宋体" w:cs="黑体"/>
                <w:kern w:val="0"/>
                <w:szCs w:val="21"/>
              </w:rPr>
            </w:pPr>
            <w:r>
              <w:rPr>
                <w:rFonts w:hint="eastAsia" w:ascii="宋体" w:hAnsi="宋体" w:cs="黑体"/>
                <w:kern w:val="0"/>
                <w:szCs w:val="21"/>
              </w:rPr>
              <w:t>采用“中置四盘刷+后置吸嘴”的对称结构布置形式，方便道路左右两边路沿清扫。</w:t>
            </w:r>
          </w:p>
        </w:tc>
      </w:tr>
    </w:tbl>
    <w:p>
      <w:pPr>
        <w:spacing w:line="360" w:lineRule="auto"/>
        <w:ind w:firstLine="420" w:firstLineChars="200"/>
        <w:rPr>
          <w:rFonts w:hint="eastAsia" w:ascii="宋体" w:hAnsi="宋体"/>
          <w:szCs w:val="21"/>
        </w:rPr>
      </w:pPr>
      <w:r>
        <w:rPr>
          <w:rFonts w:hint="eastAsia" w:ascii="宋体" w:hAnsi="宋体"/>
          <w:szCs w:val="21"/>
        </w:rPr>
        <w:t>1、投标人应如实描述所投产品的技术参数和性能，不得完全复制粘贴上表技术参数和性能描述。因完全复制粘贴上表技术参数和性能描述而产生的不利于投标人的评审风险由投标人自行承担。</w:t>
      </w:r>
    </w:p>
    <w:p>
      <w:pPr>
        <w:pStyle w:val="2"/>
        <w:ind w:left="0" w:leftChars="0" w:right="63"/>
        <w:jc w:val="both"/>
        <w:rPr>
          <w:rFonts w:hint="eastAsia" w:ascii="宋体" w:hAnsi="宋体" w:cs="黑体"/>
          <w:kern w:val="0"/>
          <w:szCs w:val="21"/>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7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spacing w:after="60" w:line="360" w:lineRule="atLeast"/>
      <w:ind w:left="72" w:leftChars="30" w:right="30" w:rightChars="30"/>
      <w:jc w:val="center"/>
      <w:textAlignment w:val="baseline"/>
    </w:pPr>
  </w:style>
  <w:style w:type="paragraph" w:styleId="3">
    <w:name w:val="Plain Text"/>
    <w:basedOn w:val="1"/>
    <w:uiPriority w:val="0"/>
    <w:rPr>
      <w:rFonts w:ascii="宋体" w:hAnsi="Courier New"/>
      <w:szCs w:val="21"/>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2020-09-04T03:41:15Z</dcterms:created>
  <dc:creator>Administrator</dc:creator>
  <cp:lastModifiedBy>NTKO</cp:lastModifiedBy>
  <dcterms:modified xsi:type="dcterms:W3CDTF">2020-09-04T03:41:22Z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