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40" w:lineRule="atLeast"/>
        <w:ind w:right="0"/>
        <w:jc w:val="both"/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333333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pStyle w:val="7"/>
        <w:spacing w:line="480" w:lineRule="exact"/>
        <w:ind w:firstLine="562" w:firstLineChars="200"/>
        <w:rPr>
          <w:rFonts w:ascii="宋体" w:hAnsi="宋体" w:cs="宋体"/>
          <w:b/>
          <w:bCs/>
          <w:spacing w:val="20"/>
          <w:sz w:val="24"/>
          <w:szCs w:val="24"/>
        </w:rPr>
      </w:pPr>
      <w:r>
        <w:rPr>
          <w:rFonts w:hint="eastAsia" w:ascii="宋体" w:hAnsi="宋体" w:cs="宋体"/>
          <w:b/>
          <w:bCs/>
          <w:spacing w:val="20"/>
          <w:sz w:val="24"/>
          <w:szCs w:val="24"/>
        </w:rPr>
        <w:t>二、采购货物清单及技术要求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110"/>
        <w:gridCol w:w="6000"/>
        <w:gridCol w:w="825"/>
        <w:gridCol w:w="6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71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11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名称</w:t>
            </w:r>
          </w:p>
        </w:tc>
        <w:tc>
          <w:tcPr>
            <w:tcW w:w="600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技术及参数要求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68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713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11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单臂路灯</w:t>
            </w:r>
          </w:p>
        </w:tc>
        <w:tc>
          <w:tcPr>
            <w:tcW w:w="6000" w:type="dxa"/>
            <w:noWrap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  <w:t>路灯尺寸详见图纸，图纸尺寸均以毫米计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。</w:t>
            </w:r>
          </w:p>
          <w:p>
            <w:pPr>
              <w:pStyle w:val="18"/>
              <w:numPr>
                <w:ilvl w:val="0"/>
                <w:numId w:val="1"/>
              </w:numPr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灯体底座材质为国标304不锈钢,厚度2.5MM以上,表面喷重灰色汽车金属漆(涂层厚度≥85μm).</w:t>
            </w:r>
          </w:p>
          <w:p>
            <w:pPr>
              <w:pStyle w:val="18"/>
              <w:numPr>
                <w:ilvl w:val="0"/>
                <w:numId w:val="1"/>
              </w:numPr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灯杆材质为国标管材,壁厚5.0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MM,内外表面均酸洗除锈热浸锌处理(镀层厚度≥85μm),表面喷重灰色汽车金属漆(涂层厚度≥85μm)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。</w:t>
            </w:r>
          </w:p>
          <w:p>
            <w:pPr>
              <w:pStyle w:val="18"/>
              <w:numPr>
                <w:ilvl w:val="0"/>
                <w:numId w:val="1"/>
              </w:numPr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焊接质量: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（1）杆身1条焊缝纵向，与杆门同侧，焊缝应平整，无明显咬边、夹渣、汽孔等缺陷；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（2）焊缝的焊深大于60%，且光滑均匀。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5、穿线孔预留好，不得遗漏，必须光滑无毛刺。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6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灯臂固定牢靠，与道路纵向垂直，杆体垂直度误差小于0.2%，杆面扭曲度误差不大于7度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</w:rPr>
              <w:t>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7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杆门采用三角锁,配内三角钥匙(内凹5CM,五根配一把),杆门与杆体在杆门下部采用轴动联接,固定件与杆体牢固焊接。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8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在杆门门框内侧焊一个M10的接地螺栓。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9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灯具详细参数如下: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(1)灯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壳采用国际标准304不锈钢材质.厚2.5mm；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  <w:t>(2)灯具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散热器材质为6063铝合金挤压成型，本色氧化处理；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(3)灯具采用科锐芯片，茂硕电源、带有0-10V智能控制器接口；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(4)灯具须带有防雷器；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(5)透镜采用二次配光,蝙蝠翼配光形状,效率&gt;92%,矩形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光斑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与道路平行；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(6)整灯光效≥110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LM/W，色温≤3200K。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要求灯杆抗风力达12级；</w:t>
            </w:r>
          </w:p>
          <w:p>
            <w:pPr>
              <w:pStyle w:val="18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11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路灯厂家根据效果图和大样图做出样品,由甲方和设计院验收通过签字确认后再大批量生产。</w:t>
            </w:r>
          </w:p>
          <w:p>
            <w:pPr>
              <w:pStyle w:val="18"/>
              <w:ind w:firstLine="0" w:firstLineChars="0"/>
              <w:rPr>
                <w:rFonts w:ascii="宋体" w:hAnsi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-SA"/>
              </w:rPr>
              <w:t>路灯整灯质保5年，十年内优惠价提供维修备品。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个</w:t>
            </w:r>
          </w:p>
        </w:tc>
        <w:tc>
          <w:tcPr>
            <w:tcW w:w="682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highlight w:val="none"/>
              </w:rPr>
              <w:t>62</w:t>
            </w:r>
          </w:p>
        </w:tc>
      </w:tr>
    </w:tbl>
    <w:p>
      <w:pPr>
        <w:pStyle w:val="7"/>
        <w:spacing w:line="480" w:lineRule="exact"/>
        <w:ind w:firstLine="562" w:firstLineChars="200"/>
        <w:rPr>
          <w:rFonts w:hint="eastAsia" w:ascii="仿宋" w:hAnsi="仿宋" w:eastAsia="仿宋" w:cs="仿宋"/>
          <w:color w:val="333333"/>
          <w:sz w:val="24"/>
          <w:szCs w:val="24"/>
        </w:rPr>
      </w:pPr>
      <w:r>
        <w:rPr>
          <w:rFonts w:hint="eastAsia" w:ascii="宋体" w:hAnsi="宋体" w:cs="宋体"/>
          <w:b/>
          <w:bCs/>
          <w:spacing w:val="20"/>
          <w:sz w:val="24"/>
          <w:szCs w:val="24"/>
          <w:highlight w:val="none"/>
          <w:lang w:eastAsia="zh-CN"/>
        </w:rPr>
        <w:t>注：路灯图纸另附</w:t>
      </w:r>
    </w:p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01B587"/>
    <w:multiLevelType w:val="singleLevel"/>
    <w:tmpl w:val="8201B58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iM2U5ZjdkMzcyMDU2M2IwM2ZkN2I2ZWYzMTI0ODEifQ=="/>
  </w:docVars>
  <w:rsids>
    <w:rsidRoot w:val="73343757"/>
    <w:rsid w:val="7334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1_0"/>
    <w:next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8">
    <w:name w:val="正文文本_1"/>
    <w:basedOn w:val="9"/>
    <w:next w:val="15"/>
    <w:qFormat/>
    <w:uiPriority w:val="0"/>
    <w:rPr>
      <w:rFonts w:eastAsia="仿宋_GB2312"/>
      <w:kern w:val="2"/>
      <w:sz w:val="28"/>
      <w:szCs w:val="30"/>
    </w:rPr>
  </w:style>
  <w:style w:type="paragraph" w:customStyle="1" w:styleId="9">
    <w:name w:val="正文_2"/>
    <w:basedOn w:val="10"/>
    <w:next w:val="8"/>
    <w:qFormat/>
    <w:uiPriority w:val="0"/>
    <w:pPr>
      <w:widowControl w:val="0"/>
      <w:jc w:val="both"/>
    </w:pPr>
    <w:rPr>
      <w:lang w:val="en-US" w:eastAsia="zh-CN" w:bidi="ar-SA"/>
    </w:rPr>
  </w:style>
  <w:style w:type="paragraph" w:customStyle="1" w:styleId="10">
    <w:name w:val="正文_3"/>
    <w:basedOn w:val="7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">
    <w:name w:val="正文文本_3"/>
    <w:basedOn w:val="12"/>
    <w:next w:val="13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2">
    <w:name w:val="正文_21"/>
    <w:next w:val="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正文文本 2_3"/>
    <w:basedOn w:val="14"/>
    <w:next w:val="11"/>
    <w:unhideWhenUsed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paragraph" w:customStyle="1" w:styleId="14">
    <w:name w:val="正文_10"/>
    <w:next w:val="11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正文文本 2_1"/>
    <w:basedOn w:val="16"/>
    <w:next w:val="17"/>
    <w:qFormat/>
    <w:uiPriority w:val="0"/>
    <w:pPr>
      <w:jc w:val="center"/>
      <w:outlineLvl w:val="0"/>
    </w:pPr>
    <w:rPr>
      <w:rFonts w:ascii="楷体_GB2312" w:hAnsi="Times New Roman" w:eastAsia="仿宋_GB2312" w:cs="Times New Roman"/>
      <w:kern w:val="2"/>
      <w:sz w:val="30"/>
    </w:rPr>
  </w:style>
  <w:style w:type="paragraph" w:customStyle="1" w:styleId="16">
    <w:name w:val="正文_3_1"/>
    <w:next w:val="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7">
    <w:name w:val="正文文本_4"/>
    <w:basedOn w:val="16"/>
    <w:next w:val="15"/>
    <w:unhideWhenUsed/>
    <w:qFormat/>
    <w:uiPriority w:val="0"/>
    <w:pPr>
      <w:widowControl/>
      <w:adjustRightInd w:val="0"/>
      <w:spacing w:after="60" w:line="360" w:lineRule="atLeast"/>
      <w:ind w:left="72" w:leftChars="30" w:right="30" w:rightChars="30" w:firstLine="200" w:firstLineChars="200"/>
      <w:jc w:val="center"/>
    </w:pPr>
    <w:rPr>
      <w:kern w:val="0"/>
      <w:sz w:val="20"/>
      <w:szCs w:val="20"/>
    </w:rPr>
  </w:style>
  <w:style w:type="paragraph" w:customStyle="1" w:styleId="18">
    <w:name w:val="列出段落1"/>
    <w:basedOn w:val="1"/>
    <w:qFormat/>
    <w:uiPriority w:val="0"/>
    <w:pPr>
      <w:widowControl/>
      <w:spacing w:line="300" w:lineRule="auto"/>
      <w:ind w:firstLine="200" w:firstLineChars="200"/>
    </w:pPr>
    <w:rPr>
      <w:rFonts w:ascii="Arial" w:hAnsi="Arial" w:eastAsia="宋体" w:cs="Times New Roman"/>
      <w:kern w:val="0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2023-11-06T08:39:00Z</dcterms:created>
  <dc:creator>Ami.</dc:creator>
  <cp:lastModifiedBy>Ami.</cp:lastModifiedBy>
  <dcterms:modified xsi:type="dcterms:W3CDTF">2023-11-06T08:40:09Z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D86508EC07AB49358F2F79269D7D4834_11</vt:lpwstr>
  </property>
</Properties>
</file>