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F9C30C">
      <w:pPr>
        <w:jc w:val="center"/>
        <w:rPr>
          <w:rFonts w:ascii="宋体" w:hAnsi="宋体" w:eastAsia="宋体"/>
          <w:b/>
          <w:color w:val="auto"/>
          <w:spacing w:val="-20"/>
          <w:sz w:val="56"/>
          <w:szCs w:val="56"/>
          <w:lang w:val="en" w:eastAsia="zh-CN"/>
        </w:rPr>
      </w:pPr>
      <w:r>
        <w:rPr>
          <w:rFonts w:hint="default" w:ascii="宋体" w:hAnsi="宋体" w:eastAsia="宋体"/>
          <w:b/>
          <w:color w:val="auto"/>
          <w:spacing w:val="-20"/>
          <w:sz w:val="44"/>
          <w:szCs w:val="44"/>
          <w:lang w:val="en-US" w:eastAsia="zh-CN"/>
        </w:rPr>
        <w:fldChar w:fldCharType="begin"/>
      </w:r>
      <w:r>
        <w:rPr>
          <w:rFonts w:hint="default" w:ascii="宋体" w:hAnsi="宋体" w:eastAsia="宋体"/>
          <w:b/>
          <w:color w:val="auto"/>
          <w:spacing w:val="-20"/>
          <w:sz w:val="44"/>
          <w:szCs w:val="44"/>
          <w:lang w:val="en-US" w:eastAsia="zh-CN"/>
        </w:rPr>
        <w:instrText xml:space="preserve">ADDIN CNKISM.UserStyle</w:instrText>
      </w:r>
      <w:r>
        <w:rPr>
          <w:rFonts w:hint="default" w:ascii="宋体" w:hAnsi="宋体" w:eastAsia="宋体"/>
          <w:b/>
          <w:color w:val="auto"/>
          <w:spacing w:val="-20"/>
          <w:sz w:val="44"/>
          <w:szCs w:val="44"/>
          <w:lang w:val="en-US" w:eastAsia="zh-CN"/>
        </w:rPr>
        <w:fldChar w:fldCharType="end"/>
      </w:r>
      <w:r>
        <w:rPr>
          <w:rFonts w:ascii="宋体" w:hAnsi="宋体" w:eastAsia="宋体"/>
          <w:b/>
          <w:color w:val="auto"/>
          <w:spacing w:val="-20"/>
          <w:sz w:val="56"/>
          <w:szCs w:val="56"/>
          <w:lang w:val="en" w:eastAsia="zh-CN"/>
        </w:rPr>
        <w:t>新乡医学院第一附属医院信息化基础设施及安全能力提升项目</w:t>
      </w:r>
    </w:p>
    <w:p w14:paraId="0FC9C3DC">
      <w:pPr>
        <w:pStyle w:val="17"/>
      </w:pPr>
    </w:p>
    <w:p w14:paraId="16B6F1ED">
      <w:pPr>
        <w:pStyle w:val="39"/>
        <w:ind w:left="556" w:hanging="278"/>
        <w:rPr>
          <w:rFonts w:hint="default"/>
          <w:lang w:eastAsia="zh-CN"/>
        </w:rPr>
      </w:pPr>
    </w:p>
    <w:p w14:paraId="607A6C4E">
      <w:pPr>
        <w:rPr>
          <w:lang w:eastAsia="zh-CN"/>
        </w:rPr>
      </w:pPr>
    </w:p>
    <w:p w14:paraId="03E704C0">
      <w:pPr>
        <w:tabs>
          <w:tab w:val="left" w:pos="1950"/>
        </w:tabs>
        <w:jc w:val="left"/>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p>
    <w:p w14:paraId="7720548D">
      <w:pPr>
        <w:spacing w:line="240" w:lineRule="auto"/>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招标文件</w:t>
      </w:r>
    </w:p>
    <w:p w14:paraId="4C8C9AEF">
      <w:pPr>
        <w:jc w:val="center"/>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val="en" w:eastAsia="zh-CN"/>
        </w:rPr>
        <w:t>豫财招标采购-2024-1257</w:t>
      </w:r>
    </w:p>
    <w:p w14:paraId="73105B4B">
      <w:pPr>
        <w:spacing w:line="240" w:lineRule="atLeast"/>
        <w:ind w:left="1080" w:hanging="540"/>
        <w:jc w:val="center"/>
        <w:rPr>
          <w:rFonts w:hint="default" w:ascii="Times New Roman" w:hAnsi="Times New Roman" w:eastAsia="宋体" w:cs="Times New Roman"/>
          <w:b/>
          <w:bCs/>
          <w:color w:val="auto"/>
          <w:sz w:val="28"/>
          <w:szCs w:val="28"/>
          <w:lang w:val="en-US"/>
        </w:rPr>
      </w:pPr>
      <w:r>
        <w:rPr>
          <w:rFonts w:hint="default" w:ascii="Times New Roman" w:hAnsi="Times New Roman" w:eastAsia="宋体" w:cs="Times New Roman"/>
          <w:color w:val="auto"/>
          <w:lang w:val="en-US" w:eastAsia="zh-CN"/>
        </w:rPr>
        <w:drawing>
          <wp:inline distT="0" distB="0" distL="114300" distR="114300">
            <wp:extent cx="1398905" cy="1398905"/>
            <wp:effectExtent l="0" t="0" r="1079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1398905" cy="1398905"/>
                    </a:xfrm>
                    <a:prstGeom prst="rect">
                      <a:avLst/>
                    </a:prstGeom>
                    <a:noFill/>
                    <a:ln>
                      <a:noFill/>
                    </a:ln>
                  </pic:spPr>
                </pic:pic>
              </a:graphicData>
            </a:graphic>
          </wp:inline>
        </w:drawing>
      </w:r>
    </w:p>
    <w:p w14:paraId="1B44F65B">
      <w:pPr>
        <w:spacing w:line="700" w:lineRule="exact"/>
        <w:ind w:left="1050" w:leftChars="500"/>
        <w:rPr>
          <w:rFonts w:hint="default" w:ascii="Times New Roman" w:hAnsi="Times New Roman" w:eastAsia="宋体" w:cs="Times New Roman"/>
          <w:b/>
          <w:color w:val="auto"/>
          <w:sz w:val="36"/>
          <w:szCs w:val="36"/>
          <w:lang w:eastAsia="zh-CN"/>
        </w:rPr>
      </w:pPr>
    </w:p>
    <w:p w14:paraId="6D6056D0">
      <w:pPr>
        <w:pStyle w:val="17"/>
      </w:pPr>
    </w:p>
    <w:p w14:paraId="03C094D1">
      <w:pPr>
        <w:spacing w:line="520" w:lineRule="exact"/>
        <w:ind w:left="1050" w:leftChars="500"/>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采   购   人：</w:t>
      </w:r>
      <w:r>
        <w:rPr>
          <w:rFonts w:ascii="Times New Roman" w:hAnsi="Times New Roman" w:eastAsia="宋体" w:cs="Times New Roman"/>
          <w:b/>
          <w:color w:val="auto"/>
          <w:sz w:val="36"/>
          <w:szCs w:val="36"/>
          <w:lang w:val="en" w:eastAsia="zh-CN"/>
        </w:rPr>
        <w:t>新乡医学院第一附属医院</w:t>
      </w:r>
    </w:p>
    <w:p w14:paraId="52331FF7">
      <w:pPr>
        <w:spacing w:line="520" w:lineRule="exact"/>
        <w:ind w:left="1050" w:leftChars="500"/>
        <w:rPr>
          <w:rFonts w:hint="default" w:ascii="Times New Roman" w:hAnsi="Times New Roman" w:eastAsia="宋体" w:cs="Times New Roman"/>
          <w:b/>
          <w:bCs/>
          <w:color w:val="auto"/>
          <w:spacing w:val="56"/>
          <w:sz w:val="36"/>
          <w:szCs w:val="36"/>
          <w:lang w:eastAsia="zh-CN"/>
        </w:rPr>
      </w:pPr>
      <w:r>
        <w:rPr>
          <w:rFonts w:hint="default" w:ascii="Times New Roman" w:hAnsi="Times New Roman" w:eastAsia="宋体" w:cs="Times New Roman"/>
          <w:b/>
          <w:color w:val="auto"/>
          <w:sz w:val="36"/>
          <w:szCs w:val="36"/>
          <w:lang w:eastAsia="zh-CN"/>
        </w:rPr>
        <w:t>集中采购机构：河南省公共资源交易中心</w:t>
      </w:r>
    </w:p>
    <w:p w14:paraId="1DA12F05">
      <w:pPr>
        <w:spacing w:line="520" w:lineRule="exact"/>
        <w:jc w:val="center"/>
        <w:rPr>
          <w:rFonts w:hint="default" w:ascii="Times New Roman" w:hAnsi="Times New Roman" w:eastAsia="宋体" w:cs="Times New Roman"/>
          <w:b/>
          <w:bCs/>
          <w:color w:val="auto"/>
          <w:sz w:val="36"/>
          <w:szCs w:val="36"/>
          <w:lang w:val="en" w:eastAsia="zh-CN"/>
        </w:rPr>
      </w:pPr>
    </w:p>
    <w:p w14:paraId="597E079D">
      <w:pPr>
        <w:spacing w:line="520" w:lineRule="exact"/>
        <w:jc w:val="center"/>
        <w:rPr>
          <w:rFonts w:hint="default" w:ascii="Times New Roman" w:hAnsi="Times New Roman" w:eastAsia="宋体" w:cs="Times New Roman"/>
          <w:b/>
          <w:color w:val="auto"/>
          <w:sz w:val="36"/>
          <w:szCs w:val="36"/>
          <w:lang w:val="en"/>
        </w:rPr>
      </w:pPr>
      <w:r>
        <w:rPr>
          <w:rFonts w:hint="default" w:ascii="Times New Roman" w:hAnsi="Times New Roman" w:eastAsia="宋体" w:cs="Times New Roman"/>
          <w:b/>
          <w:bCs/>
          <w:color w:val="auto"/>
          <w:sz w:val="36"/>
          <w:szCs w:val="36"/>
          <w:lang w:val="en" w:eastAsia="zh-CN"/>
        </w:rPr>
        <w:t>2024年1</w:t>
      </w:r>
      <w:r>
        <w:rPr>
          <w:rFonts w:hint="eastAsia" w:ascii="Times New Roman" w:hAnsi="Times New Roman" w:eastAsia="宋体" w:cs="Times New Roman"/>
          <w:b/>
          <w:bCs/>
          <w:color w:val="auto"/>
          <w:sz w:val="36"/>
          <w:szCs w:val="36"/>
          <w:lang w:val="en-US" w:eastAsia="zh-CN"/>
        </w:rPr>
        <w:t>2</w:t>
      </w:r>
      <w:r>
        <w:rPr>
          <w:rFonts w:hint="default" w:ascii="Times New Roman" w:hAnsi="Times New Roman" w:eastAsia="宋体" w:cs="Times New Roman"/>
          <w:b/>
          <w:bCs/>
          <w:color w:val="auto"/>
          <w:sz w:val="36"/>
          <w:szCs w:val="36"/>
          <w:lang w:val="en" w:eastAsia="zh-CN"/>
        </w:rPr>
        <w:t>月</w:t>
      </w:r>
    </w:p>
    <w:p w14:paraId="53BCD869">
      <w:pPr>
        <w:rPr>
          <w:rFonts w:hint="default" w:ascii="Times New Roman" w:hAnsi="Times New Roman" w:eastAsia="宋体" w:cs="Times New Roman"/>
          <w:b/>
          <w:bCs/>
          <w:color w:val="auto"/>
          <w:sz w:val="44"/>
          <w:szCs w:val="44"/>
          <w:lang w:val="en-US"/>
        </w:rPr>
        <w:sectPr>
          <w:pgSz w:w="11900" w:h="16840"/>
          <w:pgMar w:top="1440" w:right="1797" w:bottom="1440" w:left="1797" w:header="851" w:footer="992" w:gutter="0"/>
          <w:cols w:space="720" w:num="1"/>
        </w:sectPr>
      </w:pPr>
    </w:p>
    <w:p w14:paraId="6E02B57A">
      <w:pPr>
        <w:pStyle w:val="17"/>
      </w:pPr>
    </w:p>
    <w:p w14:paraId="4A785580">
      <w:pPr>
        <w:jc w:val="center"/>
        <w:rPr>
          <w:rFonts w:hint="default" w:ascii="Times New Roman" w:hAnsi="Times New Roman" w:cs="Times New Roman"/>
          <w:color w:val="auto"/>
          <w:sz w:val="44"/>
          <w:szCs w:val="44"/>
        </w:rPr>
      </w:pPr>
      <w:bookmarkStart w:id="0" w:name="_Toc391830849_WPSOffice_Type1"/>
      <w:r>
        <w:rPr>
          <w:rFonts w:hint="default" w:ascii="Times New Roman" w:hAnsi="Times New Roman" w:eastAsia="宋体" w:cs="Times New Roman"/>
          <w:color w:val="auto"/>
          <w:sz w:val="44"/>
          <w:szCs w:val="44"/>
        </w:rPr>
        <w:t>目录</w:t>
      </w:r>
    </w:p>
    <w:bookmarkEnd w:id="0"/>
    <w:p w14:paraId="0A36DC99">
      <w:pPr>
        <w:pStyle w:val="32"/>
        <w:tabs>
          <w:tab w:val="right" w:leader="dot" w:pos="8306"/>
        </w:tabs>
        <w:spacing w:line="360" w:lineRule="auto"/>
        <w:rPr>
          <w:rFonts w:ascii="Times New Roman" w:hAnsi="Times New Roman"/>
          <w:sz w:val="32"/>
          <w:szCs w:val="32"/>
        </w:rPr>
      </w:pPr>
    </w:p>
    <w:p w14:paraId="71E6C3FC">
      <w:pPr>
        <w:pStyle w:val="32"/>
        <w:tabs>
          <w:tab w:val="right" w:leader="dot" w:pos="8306"/>
        </w:tabs>
        <w:rPr>
          <w:rFonts w:ascii="仿宋_GB2312" w:hAnsi="Times New Roman" w:eastAsia="仿宋_GB2312"/>
          <w:sz w:val="36"/>
          <w:szCs w:val="36"/>
        </w:rPr>
      </w:pPr>
      <w:r>
        <w:rPr>
          <w:rFonts w:hint="eastAsia" w:ascii="仿宋_GB2312" w:hAnsi="Times New Roman" w:eastAsia="仿宋_GB2312"/>
          <w:sz w:val="36"/>
          <w:szCs w:val="36"/>
        </w:rPr>
        <w:fldChar w:fldCharType="begin"/>
      </w:r>
      <w:r>
        <w:rPr>
          <w:rFonts w:hint="eastAsia" w:ascii="仿宋_GB2312" w:hAnsi="Times New Roman" w:eastAsia="仿宋_GB2312"/>
          <w:sz w:val="36"/>
          <w:szCs w:val="36"/>
        </w:rPr>
        <w:instrText xml:space="preserve">TOC \o "1-1" \h \u </w:instrText>
      </w:r>
      <w:r>
        <w:rPr>
          <w:rFonts w:hint="eastAsia" w:ascii="仿宋_GB2312" w:hAnsi="Times New Roman" w:eastAsia="仿宋_GB2312"/>
          <w:sz w:val="36"/>
          <w:szCs w:val="36"/>
        </w:rPr>
        <w:fldChar w:fldCharType="separate"/>
      </w:r>
      <w:r>
        <w:fldChar w:fldCharType="begin"/>
      </w:r>
      <w:r>
        <w:instrText xml:space="preserve"> HYPERLINK \l "_Toc15040" </w:instrText>
      </w:r>
      <w:r>
        <w:fldChar w:fldCharType="separate"/>
      </w:r>
      <w:r>
        <w:rPr>
          <w:rFonts w:hint="eastAsia" w:ascii="仿宋_GB2312" w:hAnsi="Times New Roman" w:eastAsia="仿宋_GB2312"/>
          <w:sz w:val="36"/>
          <w:szCs w:val="36"/>
        </w:rPr>
        <w:t>第一章 投标邀请</w:t>
      </w:r>
      <w:r>
        <w:rPr>
          <w:rFonts w:hint="eastAsia" w:ascii="仿宋_GB2312" w:hAnsi="Times New Roman" w:eastAsia="仿宋_GB2312"/>
          <w:sz w:val="36"/>
          <w:szCs w:val="36"/>
        </w:rPr>
        <w:tab/>
      </w:r>
      <w:r>
        <w:rPr>
          <w:rFonts w:hint="eastAsia" w:ascii="仿宋_GB2312" w:hAnsi="Times New Roman" w:eastAsia="仿宋_GB2312"/>
          <w:sz w:val="36"/>
          <w:szCs w:val="36"/>
        </w:rPr>
        <w:fldChar w:fldCharType="begin"/>
      </w:r>
      <w:r>
        <w:rPr>
          <w:rFonts w:hint="eastAsia" w:ascii="仿宋_GB2312" w:hAnsi="Times New Roman" w:eastAsia="仿宋_GB2312"/>
          <w:sz w:val="36"/>
          <w:szCs w:val="36"/>
        </w:rPr>
        <w:instrText xml:space="preserve"> PAGEREF _Toc15040 \h </w:instrText>
      </w:r>
      <w:r>
        <w:rPr>
          <w:rFonts w:hint="eastAsia" w:ascii="仿宋_GB2312" w:hAnsi="Times New Roman" w:eastAsia="仿宋_GB2312"/>
          <w:sz w:val="36"/>
          <w:szCs w:val="36"/>
        </w:rPr>
        <w:fldChar w:fldCharType="separate"/>
      </w:r>
      <w:r>
        <w:rPr>
          <w:rFonts w:hint="eastAsia" w:ascii="仿宋_GB2312" w:hAnsi="Times New Roman" w:eastAsia="仿宋_GB2312"/>
          <w:sz w:val="36"/>
          <w:szCs w:val="36"/>
        </w:rPr>
        <w:t>2</w:t>
      </w:r>
      <w:r>
        <w:rPr>
          <w:rFonts w:hint="eastAsia" w:ascii="仿宋_GB2312" w:hAnsi="Times New Roman" w:eastAsia="仿宋_GB2312"/>
          <w:sz w:val="36"/>
          <w:szCs w:val="36"/>
        </w:rPr>
        <w:fldChar w:fldCharType="end"/>
      </w:r>
      <w:r>
        <w:rPr>
          <w:rFonts w:hint="eastAsia" w:ascii="仿宋_GB2312" w:hAnsi="Times New Roman" w:eastAsia="仿宋_GB2312"/>
          <w:sz w:val="36"/>
          <w:szCs w:val="36"/>
        </w:rPr>
        <w:fldChar w:fldCharType="end"/>
      </w:r>
    </w:p>
    <w:p w14:paraId="1A9374FF">
      <w:pPr>
        <w:pStyle w:val="32"/>
        <w:tabs>
          <w:tab w:val="right" w:leader="dot" w:pos="8306"/>
        </w:tabs>
        <w:rPr>
          <w:rFonts w:ascii="仿宋_GB2312" w:hAnsi="Times New Roman" w:eastAsia="仿宋_GB2312"/>
          <w:sz w:val="36"/>
          <w:szCs w:val="36"/>
        </w:rPr>
      </w:pPr>
      <w:r>
        <w:fldChar w:fldCharType="begin"/>
      </w:r>
      <w:r>
        <w:instrText xml:space="preserve"> HYPERLINK \l "_Toc11333" </w:instrText>
      </w:r>
      <w:r>
        <w:fldChar w:fldCharType="separate"/>
      </w:r>
      <w:r>
        <w:rPr>
          <w:rFonts w:hint="eastAsia" w:ascii="仿宋_GB2312" w:hAnsi="Times New Roman" w:eastAsia="仿宋_GB2312"/>
          <w:sz w:val="36"/>
          <w:szCs w:val="36"/>
        </w:rPr>
        <w:t>第二章 投标人须知前附表</w:t>
      </w:r>
      <w:r>
        <w:rPr>
          <w:rFonts w:hint="eastAsia" w:ascii="仿宋_GB2312" w:hAnsi="Times New Roman" w:eastAsia="仿宋_GB2312"/>
          <w:sz w:val="36"/>
          <w:szCs w:val="36"/>
        </w:rPr>
        <w:tab/>
      </w:r>
      <w:r>
        <w:rPr>
          <w:rFonts w:hint="eastAsia" w:ascii="仿宋_GB2312" w:hAnsi="Times New Roman" w:eastAsia="仿宋_GB2312"/>
          <w:sz w:val="36"/>
          <w:szCs w:val="36"/>
        </w:rPr>
        <w:fldChar w:fldCharType="begin"/>
      </w:r>
      <w:r>
        <w:rPr>
          <w:rFonts w:hint="eastAsia" w:ascii="仿宋_GB2312" w:hAnsi="Times New Roman" w:eastAsia="仿宋_GB2312"/>
          <w:sz w:val="36"/>
          <w:szCs w:val="36"/>
        </w:rPr>
        <w:instrText xml:space="preserve"> PAGEREF _Toc11333 \h </w:instrText>
      </w:r>
      <w:r>
        <w:rPr>
          <w:rFonts w:hint="eastAsia" w:ascii="仿宋_GB2312" w:hAnsi="Times New Roman" w:eastAsia="仿宋_GB2312"/>
          <w:sz w:val="36"/>
          <w:szCs w:val="36"/>
        </w:rPr>
        <w:fldChar w:fldCharType="separate"/>
      </w:r>
      <w:r>
        <w:rPr>
          <w:rFonts w:hint="eastAsia" w:ascii="仿宋_GB2312" w:hAnsi="Times New Roman" w:eastAsia="仿宋_GB2312"/>
          <w:sz w:val="36"/>
          <w:szCs w:val="36"/>
        </w:rPr>
        <w:t>6</w:t>
      </w:r>
      <w:r>
        <w:rPr>
          <w:rFonts w:hint="eastAsia" w:ascii="仿宋_GB2312" w:hAnsi="Times New Roman" w:eastAsia="仿宋_GB2312"/>
          <w:sz w:val="36"/>
          <w:szCs w:val="36"/>
        </w:rPr>
        <w:fldChar w:fldCharType="end"/>
      </w:r>
      <w:r>
        <w:rPr>
          <w:rFonts w:hint="eastAsia" w:ascii="仿宋_GB2312" w:hAnsi="Times New Roman" w:eastAsia="仿宋_GB2312"/>
          <w:sz w:val="36"/>
          <w:szCs w:val="36"/>
        </w:rPr>
        <w:fldChar w:fldCharType="end"/>
      </w:r>
    </w:p>
    <w:p w14:paraId="47842E08">
      <w:pPr>
        <w:pStyle w:val="32"/>
        <w:tabs>
          <w:tab w:val="right" w:leader="dot" w:pos="8306"/>
        </w:tabs>
        <w:rPr>
          <w:rFonts w:ascii="仿宋_GB2312" w:hAnsi="Times New Roman" w:eastAsia="仿宋_GB2312"/>
          <w:sz w:val="36"/>
          <w:szCs w:val="36"/>
        </w:rPr>
      </w:pPr>
      <w:r>
        <w:fldChar w:fldCharType="begin"/>
      </w:r>
      <w:r>
        <w:instrText xml:space="preserve"> HYPERLINK \l "_Toc15241" </w:instrText>
      </w:r>
      <w:r>
        <w:fldChar w:fldCharType="separate"/>
      </w:r>
      <w:r>
        <w:rPr>
          <w:rFonts w:hint="eastAsia" w:ascii="仿宋_GB2312" w:hAnsi="Times New Roman" w:eastAsia="仿宋_GB2312"/>
          <w:sz w:val="36"/>
          <w:szCs w:val="36"/>
        </w:rPr>
        <w:t>第三章 投标人须知</w:t>
      </w:r>
      <w:r>
        <w:rPr>
          <w:rFonts w:hint="eastAsia" w:ascii="仿宋_GB2312" w:hAnsi="Times New Roman" w:eastAsia="仿宋_GB2312"/>
          <w:sz w:val="36"/>
          <w:szCs w:val="36"/>
        </w:rPr>
        <w:tab/>
      </w:r>
      <w:r>
        <w:rPr>
          <w:rFonts w:hint="eastAsia" w:ascii="仿宋_GB2312" w:hAnsi="Times New Roman" w:eastAsia="仿宋_GB2312"/>
          <w:sz w:val="36"/>
          <w:szCs w:val="36"/>
        </w:rPr>
        <w:fldChar w:fldCharType="begin"/>
      </w:r>
      <w:r>
        <w:rPr>
          <w:rFonts w:hint="eastAsia" w:ascii="仿宋_GB2312" w:hAnsi="Times New Roman" w:eastAsia="仿宋_GB2312"/>
          <w:sz w:val="36"/>
          <w:szCs w:val="36"/>
        </w:rPr>
        <w:instrText xml:space="preserve"> PAGEREF _Toc15241 \h </w:instrText>
      </w:r>
      <w:r>
        <w:rPr>
          <w:rFonts w:hint="eastAsia" w:ascii="仿宋_GB2312" w:hAnsi="Times New Roman" w:eastAsia="仿宋_GB2312"/>
          <w:sz w:val="36"/>
          <w:szCs w:val="36"/>
        </w:rPr>
        <w:fldChar w:fldCharType="separate"/>
      </w:r>
      <w:r>
        <w:rPr>
          <w:rFonts w:hint="eastAsia" w:ascii="仿宋_GB2312" w:hAnsi="Times New Roman" w:eastAsia="仿宋_GB2312"/>
          <w:sz w:val="36"/>
          <w:szCs w:val="36"/>
        </w:rPr>
        <w:t>13</w:t>
      </w:r>
      <w:r>
        <w:rPr>
          <w:rFonts w:hint="eastAsia" w:ascii="仿宋_GB2312" w:hAnsi="Times New Roman" w:eastAsia="仿宋_GB2312"/>
          <w:sz w:val="36"/>
          <w:szCs w:val="36"/>
        </w:rPr>
        <w:fldChar w:fldCharType="end"/>
      </w:r>
      <w:r>
        <w:rPr>
          <w:rFonts w:hint="eastAsia" w:ascii="仿宋_GB2312" w:hAnsi="Times New Roman" w:eastAsia="仿宋_GB2312"/>
          <w:sz w:val="36"/>
          <w:szCs w:val="36"/>
        </w:rPr>
        <w:fldChar w:fldCharType="end"/>
      </w:r>
    </w:p>
    <w:p w14:paraId="736B5263">
      <w:pPr>
        <w:pStyle w:val="32"/>
        <w:tabs>
          <w:tab w:val="right" w:leader="dot" w:pos="8306"/>
        </w:tabs>
        <w:rPr>
          <w:rFonts w:ascii="仿宋_GB2312" w:hAnsi="Times New Roman" w:eastAsia="仿宋_GB2312"/>
          <w:sz w:val="36"/>
          <w:szCs w:val="36"/>
        </w:rPr>
      </w:pPr>
      <w:r>
        <w:fldChar w:fldCharType="begin"/>
      </w:r>
      <w:r>
        <w:instrText xml:space="preserve"> HYPERLINK \l "_Toc28913" </w:instrText>
      </w:r>
      <w:r>
        <w:fldChar w:fldCharType="separate"/>
      </w:r>
      <w:r>
        <w:rPr>
          <w:rFonts w:hint="eastAsia" w:ascii="仿宋_GB2312" w:hAnsi="Times New Roman" w:eastAsia="仿宋_GB2312"/>
          <w:sz w:val="36"/>
          <w:szCs w:val="36"/>
        </w:rPr>
        <w:t>第四章 资格证明文件格式</w:t>
      </w:r>
      <w:r>
        <w:rPr>
          <w:rFonts w:hint="eastAsia" w:ascii="仿宋_GB2312" w:hAnsi="Times New Roman" w:eastAsia="仿宋_GB2312"/>
          <w:sz w:val="36"/>
          <w:szCs w:val="36"/>
        </w:rPr>
        <w:tab/>
      </w:r>
      <w:r>
        <w:rPr>
          <w:rFonts w:hint="eastAsia" w:ascii="仿宋_GB2312" w:hAnsi="Times New Roman" w:eastAsia="仿宋_GB2312"/>
          <w:sz w:val="36"/>
          <w:szCs w:val="36"/>
        </w:rPr>
        <w:fldChar w:fldCharType="begin"/>
      </w:r>
      <w:r>
        <w:rPr>
          <w:rFonts w:hint="eastAsia" w:ascii="仿宋_GB2312" w:hAnsi="Times New Roman" w:eastAsia="仿宋_GB2312"/>
          <w:sz w:val="36"/>
          <w:szCs w:val="36"/>
        </w:rPr>
        <w:instrText xml:space="preserve"> PAGEREF _Toc28913 \h </w:instrText>
      </w:r>
      <w:r>
        <w:rPr>
          <w:rFonts w:hint="eastAsia" w:ascii="仿宋_GB2312" w:hAnsi="Times New Roman" w:eastAsia="仿宋_GB2312"/>
          <w:sz w:val="36"/>
          <w:szCs w:val="36"/>
        </w:rPr>
        <w:fldChar w:fldCharType="separate"/>
      </w:r>
      <w:r>
        <w:rPr>
          <w:rFonts w:hint="eastAsia" w:ascii="仿宋_GB2312" w:hAnsi="Times New Roman" w:eastAsia="仿宋_GB2312"/>
          <w:sz w:val="36"/>
          <w:szCs w:val="36"/>
        </w:rPr>
        <w:t>33</w:t>
      </w:r>
      <w:r>
        <w:rPr>
          <w:rFonts w:hint="eastAsia" w:ascii="仿宋_GB2312" w:hAnsi="Times New Roman" w:eastAsia="仿宋_GB2312"/>
          <w:sz w:val="36"/>
          <w:szCs w:val="36"/>
        </w:rPr>
        <w:fldChar w:fldCharType="end"/>
      </w:r>
      <w:r>
        <w:rPr>
          <w:rFonts w:hint="eastAsia" w:ascii="仿宋_GB2312" w:hAnsi="Times New Roman" w:eastAsia="仿宋_GB2312"/>
          <w:sz w:val="36"/>
          <w:szCs w:val="36"/>
        </w:rPr>
        <w:fldChar w:fldCharType="end"/>
      </w:r>
    </w:p>
    <w:p w14:paraId="48DF0FE3">
      <w:pPr>
        <w:pStyle w:val="32"/>
        <w:tabs>
          <w:tab w:val="right" w:leader="dot" w:pos="8306"/>
        </w:tabs>
        <w:rPr>
          <w:rFonts w:ascii="仿宋_GB2312" w:hAnsi="Times New Roman" w:eastAsia="仿宋_GB2312"/>
          <w:sz w:val="36"/>
          <w:szCs w:val="36"/>
        </w:rPr>
      </w:pPr>
      <w:r>
        <w:fldChar w:fldCharType="begin"/>
      </w:r>
      <w:r>
        <w:instrText xml:space="preserve"> HYPERLINK \l "_Toc15119" </w:instrText>
      </w:r>
      <w:r>
        <w:fldChar w:fldCharType="separate"/>
      </w:r>
      <w:r>
        <w:rPr>
          <w:rFonts w:hint="eastAsia" w:ascii="仿宋_GB2312" w:hAnsi="Times New Roman" w:eastAsia="仿宋_GB2312"/>
          <w:sz w:val="36"/>
          <w:szCs w:val="36"/>
        </w:rPr>
        <w:t>第五章 投标文件格式</w:t>
      </w:r>
      <w:r>
        <w:rPr>
          <w:rFonts w:hint="eastAsia" w:ascii="仿宋_GB2312" w:hAnsi="Times New Roman" w:eastAsia="仿宋_GB2312"/>
          <w:sz w:val="36"/>
          <w:szCs w:val="36"/>
        </w:rPr>
        <w:tab/>
      </w:r>
      <w:r>
        <w:rPr>
          <w:rFonts w:hint="eastAsia" w:ascii="仿宋_GB2312" w:hAnsi="Times New Roman" w:eastAsia="仿宋_GB2312"/>
          <w:sz w:val="36"/>
          <w:szCs w:val="36"/>
        </w:rPr>
        <w:fldChar w:fldCharType="begin"/>
      </w:r>
      <w:r>
        <w:rPr>
          <w:rFonts w:hint="eastAsia" w:ascii="仿宋_GB2312" w:hAnsi="Times New Roman" w:eastAsia="仿宋_GB2312"/>
          <w:sz w:val="36"/>
          <w:szCs w:val="36"/>
        </w:rPr>
        <w:instrText xml:space="preserve"> PAGEREF _Toc15119 \h </w:instrText>
      </w:r>
      <w:r>
        <w:rPr>
          <w:rFonts w:hint="eastAsia" w:ascii="仿宋_GB2312" w:hAnsi="Times New Roman" w:eastAsia="仿宋_GB2312"/>
          <w:sz w:val="36"/>
          <w:szCs w:val="36"/>
        </w:rPr>
        <w:fldChar w:fldCharType="separate"/>
      </w:r>
      <w:r>
        <w:rPr>
          <w:rFonts w:hint="eastAsia" w:ascii="仿宋_GB2312" w:hAnsi="Times New Roman" w:eastAsia="仿宋_GB2312"/>
          <w:sz w:val="36"/>
          <w:szCs w:val="36"/>
        </w:rPr>
        <w:t>41</w:t>
      </w:r>
      <w:r>
        <w:rPr>
          <w:rFonts w:hint="eastAsia" w:ascii="仿宋_GB2312" w:hAnsi="Times New Roman" w:eastAsia="仿宋_GB2312"/>
          <w:sz w:val="36"/>
          <w:szCs w:val="36"/>
        </w:rPr>
        <w:fldChar w:fldCharType="end"/>
      </w:r>
      <w:r>
        <w:rPr>
          <w:rFonts w:hint="eastAsia" w:ascii="仿宋_GB2312" w:hAnsi="Times New Roman" w:eastAsia="仿宋_GB2312"/>
          <w:sz w:val="36"/>
          <w:szCs w:val="36"/>
        </w:rPr>
        <w:fldChar w:fldCharType="end"/>
      </w:r>
    </w:p>
    <w:p w14:paraId="0D2E7F97">
      <w:pPr>
        <w:pStyle w:val="32"/>
        <w:tabs>
          <w:tab w:val="right" w:leader="dot" w:pos="8306"/>
        </w:tabs>
        <w:rPr>
          <w:rFonts w:ascii="仿宋_GB2312" w:hAnsi="Times New Roman" w:eastAsia="仿宋_GB2312"/>
          <w:sz w:val="36"/>
          <w:szCs w:val="36"/>
        </w:rPr>
      </w:pPr>
      <w:r>
        <w:fldChar w:fldCharType="begin"/>
      </w:r>
      <w:r>
        <w:instrText xml:space="preserve"> HYPERLINK \l "_Toc8682" </w:instrText>
      </w:r>
      <w:r>
        <w:fldChar w:fldCharType="separate"/>
      </w:r>
      <w:r>
        <w:rPr>
          <w:rFonts w:hint="eastAsia" w:ascii="仿宋_GB2312" w:hAnsi="Times New Roman" w:eastAsia="仿宋_GB2312"/>
          <w:sz w:val="36"/>
          <w:szCs w:val="36"/>
        </w:rPr>
        <w:t>第六章 项目需求及技术要求</w:t>
      </w:r>
      <w:r>
        <w:rPr>
          <w:rFonts w:hint="eastAsia" w:ascii="仿宋_GB2312" w:hAnsi="Times New Roman" w:eastAsia="仿宋_GB2312"/>
          <w:sz w:val="36"/>
          <w:szCs w:val="36"/>
        </w:rPr>
        <w:tab/>
      </w:r>
      <w:r>
        <w:rPr>
          <w:rFonts w:hint="eastAsia" w:ascii="仿宋_GB2312" w:hAnsi="Times New Roman" w:eastAsia="仿宋_GB2312"/>
          <w:sz w:val="36"/>
          <w:szCs w:val="36"/>
        </w:rPr>
        <w:fldChar w:fldCharType="begin"/>
      </w:r>
      <w:r>
        <w:rPr>
          <w:rFonts w:hint="eastAsia" w:ascii="仿宋_GB2312" w:hAnsi="Times New Roman" w:eastAsia="仿宋_GB2312"/>
          <w:sz w:val="36"/>
          <w:szCs w:val="36"/>
        </w:rPr>
        <w:instrText xml:space="preserve"> PAGEREF _Toc8682 \h </w:instrText>
      </w:r>
      <w:r>
        <w:rPr>
          <w:rFonts w:hint="eastAsia" w:ascii="仿宋_GB2312" w:hAnsi="Times New Roman" w:eastAsia="仿宋_GB2312"/>
          <w:sz w:val="36"/>
          <w:szCs w:val="36"/>
        </w:rPr>
        <w:fldChar w:fldCharType="separate"/>
      </w:r>
      <w:r>
        <w:rPr>
          <w:rFonts w:hint="eastAsia" w:ascii="仿宋_GB2312" w:hAnsi="Times New Roman" w:eastAsia="仿宋_GB2312"/>
          <w:sz w:val="36"/>
          <w:szCs w:val="36"/>
        </w:rPr>
        <w:t>60</w:t>
      </w:r>
      <w:r>
        <w:rPr>
          <w:rFonts w:hint="eastAsia" w:ascii="仿宋_GB2312" w:hAnsi="Times New Roman" w:eastAsia="仿宋_GB2312"/>
          <w:sz w:val="36"/>
          <w:szCs w:val="36"/>
        </w:rPr>
        <w:fldChar w:fldCharType="end"/>
      </w:r>
      <w:r>
        <w:rPr>
          <w:rFonts w:hint="eastAsia" w:ascii="仿宋_GB2312" w:hAnsi="Times New Roman" w:eastAsia="仿宋_GB2312"/>
          <w:sz w:val="36"/>
          <w:szCs w:val="36"/>
        </w:rPr>
        <w:fldChar w:fldCharType="end"/>
      </w:r>
    </w:p>
    <w:p w14:paraId="17840A6B">
      <w:pPr>
        <w:pStyle w:val="32"/>
        <w:tabs>
          <w:tab w:val="right" w:leader="dot" w:pos="8306"/>
        </w:tabs>
        <w:rPr>
          <w:rFonts w:ascii="仿宋_GB2312" w:hAnsi="Times New Roman" w:eastAsia="仿宋_GB2312"/>
          <w:sz w:val="36"/>
          <w:szCs w:val="36"/>
        </w:rPr>
      </w:pPr>
      <w:r>
        <w:fldChar w:fldCharType="begin"/>
      </w:r>
      <w:r>
        <w:instrText xml:space="preserve"> HYPERLINK \l "_Toc20774" </w:instrText>
      </w:r>
      <w:r>
        <w:fldChar w:fldCharType="separate"/>
      </w:r>
      <w:r>
        <w:rPr>
          <w:rFonts w:hint="eastAsia" w:ascii="仿宋_GB2312" w:hAnsi="Times New Roman" w:eastAsia="仿宋_GB2312"/>
          <w:sz w:val="36"/>
          <w:szCs w:val="36"/>
        </w:rPr>
        <w:t xml:space="preserve">第七章 </w:t>
      </w:r>
      <w:r>
        <w:rPr>
          <w:rFonts w:ascii="仿宋_GB2312" w:hAnsi="Times New Roman" w:eastAsia="仿宋_GB2312"/>
          <w:sz w:val="36"/>
          <w:szCs w:val="36"/>
        </w:rPr>
        <w:t>评标方法和标准</w:t>
      </w:r>
      <w:r>
        <w:rPr>
          <w:rFonts w:hint="eastAsia" w:ascii="仿宋_GB2312" w:hAnsi="Times New Roman" w:eastAsia="仿宋_GB2312"/>
          <w:sz w:val="36"/>
          <w:szCs w:val="36"/>
        </w:rPr>
        <w:tab/>
      </w:r>
      <w:r>
        <w:rPr>
          <w:rFonts w:hint="eastAsia" w:ascii="仿宋_GB2312" w:hAnsi="Times New Roman" w:eastAsia="仿宋_GB2312"/>
          <w:sz w:val="36"/>
          <w:szCs w:val="36"/>
        </w:rPr>
        <w:fldChar w:fldCharType="begin"/>
      </w:r>
      <w:r>
        <w:rPr>
          <w:rFonts w:hint="eastAsia" w:ascii="仿宋_GB2312" w:hAnsi="Times New Roman" w:eastAsia="仿宋_GB2312"/>
          <w:sz w:val="36"/>
          <w:szCs w:val="36"/>
        </w:rPr>
        <w:instrText xml:space="preserve"> PAGEREF _Toc20774 \h </w:instrText>
      </w:r>
      <w:r>
        <w:rPr>
          <w:rFonts w:hint="eastAsia" w:ascii="仿宋_GB2312" w:hAnsi="Times New Roman" w:eastAsia="仿宋_GB2312"/>
          <w:sz w:val="36"/>
          <w:szCs w:val="36"/>
        </w:rPr>
        <w:fldChar w:fldCharType="separate"/>
      </w:r>
      <w:r>
        <w:rPr>
          <w:rFonts w:hint="eastAsia" w:ascii="仿宋_GB2312" w:hAnsi="Times New Roman" w:eastAsia="仿宋_GB2312"/>
          <w:sz w:val="36"/>
          <w:szCs w:val="36"/>
        </w:rPr>
        <w:t>88</w:t>
      </w:r>
      <w:r>
        <w:rPr>
          <w:rFonts w:hint="eastAsia" w:ascii="仿宋_GB2312" w:hAnsi="Times New Roman" w:eastAsia="仿宋_GB2312"/>
          <w:sz w:val="36"/>
          <w:szCs w:val="36"/>
        </w:rPr>
        <w:fldChar w:fldCharType="end"/>
      </w:r>
      <w:r>
        <w:rPr>
          <w:rFonts w:hint="eastAsia" w:ascii="仿宋_GB2312" w:hAnsi="Times New Roman" w:eastAsia="仿宋_GB2312"/>
          <w:sz w:val="36"/>
          <w:szCs w:val="36"/>
        </w:rPr>
        <w:fldChar w:fldCharType="end"/>
      </w:r>
    </w:p>
    <w:p w14:paraId="5D4336C3">
      <w:pPr>
        <w:pStyle w:val="32"/>
        <w:tabs>
          <w:tab w:val="right" w:leader="dot" w:pos="8306"/>
        </w:tabs>
        <w:rPr>
          <w:rFonts w:ascii="仿宋_GB2312" w:hAnsi="Times New Roman" w:eastAsia="仿宋_GB2312"/>
          <w:sz w:val="36"/>
          <w:szCs w:val="36"/>
        </w:rPr>
      </w:pPr>
      <w:r>
        <w:fldChar w:fldCharType="begin"/>
      </w:r>
      <w:r>
        <w:instrText xml:space="preserve"> HYPERLINK \l "_Toc15802" </w:instrText>
      </w:r>
      <w:r>
        <w:fldChar w:fldCharType="separate"/>
      </w:r>
      <w:r>
        <w:rPr>
          <w:rFonts w:ascii="仿宋_GB2312" w:hAnsi="Times New Roman" w:eastAsia="仿宋_GB2312"/>
          <w:sz w:val="36"/>
          <w:szCs w:val="36"/>
        </w:rPr>
        <w:t>第八章 政府采购合同</w:t>
      </w:r>
      <w:r>
        <w:rPr>
          <w:rFonts w:hint="eastAsia" w:ascii="仿宋_GB2312" w:hAnsi="Times New Roman" w:eastAsia="仿宋_GB2312"/>
          <w:sz w:val="36"/>
          <w:szCs w:val="36"/>
        </w:rPr>
        <w:tab/>
      </w:r>
      <w:r>
        <w:rPr>
          <w:rFonts w:hint="eastAsia" w:ascii="仿宋_GB2312" w:hAnsi="Times New Roman" w:eastAsia="仿宋_GB2312"/>
          <w:sz w:val="36"/>
          <w:szCs w:val="36"/>
        </w:rPr>
        <w:fldChar w:fldCharType="begin"/>
      </w:r>
      <w:r>
        <w:rPr>
          <w:rFonts w:hint="eastAsia" w:ascii="仿宋_GB2312" w:hAnsi="Times New Roman" w:eastAsia="仿宋_GB2312"/>
          <w:sz w:val="36"/>
          <w:szCs w:val="36"/>
        </w:rPr>
        <w:instrText xml:space="preserve"> PAGEREF _Toc15802 \h </w:instrText>
      </w:r>
      <w:r>
        <w:rPr>
          <w:rFonts w:hint="eastAsia" w:ascii="仿宋_GB2312" w:hAnsi="Times New Roman" w:eastAsia="仿宋_GB2312"/>
          <w:sz w:val="36"/>
          <w:szCs w:val="36"/>
        </w:rPr>
        <w:fldChar w:fldCharType="separate"/>
      </w:r>
      <w:r>
        <w:rPr>
          <w:rFonts w:hint="eastAsia" w:ascii="仿宋_GB2312" w:hAnsi="Times New Roman" w:eastAsia="仿宋_GB2312"/>
          <w:sz w:val="36"/>
          <w:szCs w:val="36"/>
        </w:rPr>
        <w:t>93</w:t>
      </w:r>
      <w:r>
        <w:rPr>
          <w:rFonts w:hint="eastAsia" w:ascii="仿宋_GB2312" w:hAnsi="Times New Roman" w:eastAsia="仿宋_GB2312"/>
          <w:sz w:val="36"/>
          <w:szCs w:val="36"/>
        </w:rPr>
        <w:fldChar w:fldCharType="end"/>
      </w:r>
      <w:r>
        <w:rPr>
          <w:rFonts w:hint="eastAsia" w:ascii="仿宋_GB2312" w:hAnsi="Times New Roman" w:eastAsia="仿宋_GB2312"/>
          <w:sz w:val="36"/>
          <w:szCs w:val="36"/>
        </w:rPr>
        <w:fldChar w:fldCharType="end"/>
      </w:r>
    </w:p>
    <w:p w14:paraId="385DCCFA">
      <w:pPr>
        <w:pStyle w:val="32"/>
        <w:tabs>
          <w:tab w:val="right" w:leader="dot" w:pos="8306"/>
        </w:tabs>
        <w:rPr>
          <w:rFonts w:ascii="仿宋_GB2312" w:hAnsi="Times New Roman" w:eastAsia="仿宋_GB2312"/>
          <w:sz w:val="36"/>
          <w:szCs w:val="36"/>
        </w:rPr>
      </w:pPr>
      <w:r>
        <w:fldChar w:fldCharType="begin"/>
      </w:r>
      <w:r>
        <w:instrText xml:space="preserve"> HYPERLINK \l "_Toc22552" </w:instrText>
      </w:r>
      <w:r>
        <w:fldChar w:fldCharType="separate"/>
      </w:r>
      <w:r>
        <w:rPr>
          <w:rFonts w:ascii="仿宋_GB2312" w:hAnsi="Times New Roman" w:eastAsia="仿宋_GB2312"/>
          <w:sz w:val="36"/>
          <w:szCs w:val="36"/>
        </w:rPr>
        <w:t>第九章 附件</w:t>
      </w:r>
      <w:r>
        <w:rPr>
          <w:rFonts w:hint="eastAsia" w:ascii="仿宋_GB2312" w:hAnsi="Times New Roman" w:eastAsia="仿宋_GB2312"/>
          <w:sz w:val="36"/>
          <w:szCs w:val="36"/>
        </w:rPr>
        <w:tab/>
      </w:r>
      <w:r>
        <w:rPr>
          <w:rFonts w:hint="eastAsia" w:ascii="仿宋_GB2312" w:hAnsi="Times New Roman" w:eastAsia="仿宋_GB2312"/>
          <w:sz w:val="36"/>
          <w:szCs w:val="36"/>
        </w:rPr>
        <w:fldChar w:fldCharType="begin"/>
      </w:r>
      <w:r>
        <w:rPr>
          <w:rFonts w:hint="eastAsia" w:ascii="仿宋_GB2312" w:hAnsi="Times New Roman" w:eastAsia="仿宋_GB2312"/>
          <w:sz w:val="36"/>
          <w:szCs w:val="36"/>
        </w:rPr>
        <w:instrText xml:space="preserve"> PAGEREF _Toc22552 \h </w:instrText>
      </w:r>
      <w:r>
        <w:rPr>
          <w:rFonts w:hint="eastAsia" w:ascii="仿宋_GB2312" w:hAnsi="Times New Roman" w:eastAsia="仿宋_GB2312"/>
          <w:sz w:val="36"/>
          <w:szCs w:val="36"/>
        </w:rPr>
        <w:fldChar w:fldCharType="separate"/>
      </w:r>
      <w:r>
        <w:rPr>
          <w:rFonts w:hint="eastAsia" w:ascii="仿宋_GB2312" w:hAnsi="Times New Roman" w:eastAsia="仿宋_GB2312"/>
          <w:sz w:val="36"/>
          <w:szCs w:val="36"/>
        </w:rPr>
        <w:t>109</w:t>
      </w:r>
      <w:r>
        <w:rPr>
          <w:rFonts w:hint="eastAsia" w:ascii="仿宋_GB2312" w:hAnsi="Times New Roman" w:eastAsia="仿宋_GB2312"/>
          <w:sz w:val="36"/>
          <w:szCs w:val="36"/>
        </w:rPr>
        <w:fldChar w:fldCharType="end"/>
      </w:r>
      <w:r>
        <w:rPr>
          <w:rFonts w:hint="eastAsia" w:ascii="仿宋_GB2312" w:hAnsi="Times New Roman" w:eastAsia="仿宋_GB2312"/>
          <w:sz w:val="36"/>
          <w:szCs w:val="36"/>
        </w:rPr>
        <w:fldChar w:fldCharType="end"/>
      </w:r>
    </w:p>
    <w:p w14:paraId="69C2603D">
      <w:pPr>
        <w:pStyle w:val="16"/>
        <w:spacing w:line="480" w:lineRule="auto"/>
        <w:rPr>
          <w:rFonts w:ascii="Times New Roman" w:hAnsi="Times New Roman"/>
        </w:rPr>
      </w:pPr>
      <w:r>
        <w:rPr>
          <w:rFonts w:hint="eastAsia" w:ascii="仿宋_GB2312" w:hAnsi="Times New Roman" w:eastAsia="仿宋_GB2312"/>
          <w:kern w:val="0"/>
          <w:sz w:val="36"/>
          <w:szCs w:val="36"/>
          <w:lang w:val="en-US" w:eastAsia="zh-CN"/>
        </w:rPr>
        <w:fldChar w:fldCharType="end"/>
      </w:r>
    </w:p>
    <w:p w14:paraId="18B03F13">
      <w:pPr>
        <w:pStyle w:val="2"/>
        <w:spacing w:before="0" w:after="0" w:line="240" w:lineRule="auto"/>
        <w:jc w:val="center"/>
        <w:rPr>
          <w:rFonts w:ascii="Times New Roman" w:hAnsi="Times New Roman" w:eastAsia="宋体"/>
          <w:color w:val="auto"/>
          <w:sz w:val="36"/>
          <w:szCs w:val="36"/>
          <w:lang w:eastAsia="zh-CN"/>
        </w:rPr>
      </w:pPr>
      <w:r>
        <w:rPr>
          <w:rFonts w:ascii="Times New Roman" w:hAnsi="Times New Roman" w:eastAsia="宋体"/>
          <w:color w:val="auto"/>
          <w:sz w:val="24"/>
          <w:szCs w:val="24"/>
          <w:lang w:eastAsia="zh-CN"/>
        </w:rPr>
        <w:br w:type="page"/>
      </w:r>
      <w:bookmarkStart w:id="1" w:name="_Toc1076329457"/>
      <w:bookmarkStart w:id="2" w:name="_Toc1592953130"/>
      <w:bookmarkStart w:id="3" w:name="_Toc774922682"/>
      <w:bookmarkStart w:id="4" w:name="_Toc968113947"/>
      <w:bookmarkStart w:id="5" w:name="_Toc1877678980_WPSOffice_Level1"/>
      <w:bookmarkStart w:id="6" w:name="_Toc932735091"/>
      <w:bookmarkStart w:id="7" w:name="_Toc424031016"/>
      <w:bookmarkStart w:id="8" w:name="_Toc471743684"/>
      <w:bookmarkStart w:id="9" w:name="_Toc1788225408"/>
      <w:bookmarkStart w:id="10" w:name="_Toc36262373_WPSOffice_Level1"/>
      <w:bookmarkStart w:id="11" w:name="_Toc1997956478"/>
      <w:bookmarkStart w:id="12" w:name="_Toc1232167429_WPSOffice_Level1"/>
      <w:bookmarkStart w:id="13" w:name="_Toc1664555187_WPSOffice_Level1"/>
      <w:bookmarkStart w:id="14" w:name="_Toc175269916"/>
      <w:bookmarkStart w:id="15" w:name="_Toc887145848"/>
      <w:bookmarkStart w:id="16" w:name="_Toc15040"/>
      <w:bookmarkStart w:id="17" w:name="_Toc729479254"/>
      <w:bookmarkStart w:id="18" w:name="_Toc432774317_WPSOffice_Level1"/>
      <w:bookmarkStart w:id="19" w:name="_Toc1306098204"/>
      <w:bookmarkStart w:id="20" w:name="_Toc1718516571"/>
      <w:bookmarkStart w:id="21" w:name="_Toc1378990171"/>
      <w:bookmarkStart w:id="22" w:name="_Toc719882491_WPSOffice_Level1"/>
      <w:bookmarkStart w:id="23" w:name="_Toc1932859446_WPSOffice_Level1"/>
      <w:bookmarkStart w:id="24" w:name="_Toc2032132179"/>
      <w:bookmarkStart w:id="25" w:name="_Toc339222953_WPSOffice_Level1"/>
      <w:bookmarkStart w:id="26" w:name="_Toc337485847"/>
      <w:bookmarkStart w:id="27" w:name="_Toc403451568"/>
      <w:bookmarkStart w:id="28" w:name="_Toc969346985"/>
      <w:bookmarkStart w:id="29" w:name="_Toc1158409811_WPSOffice_Level1"/>
      <w:bookmarkStart w:id="30" w:name="_Toc1520451966"/>
      <w:bookmarkStart w:id="31" w:name="_Toc894622228"/>
      <w:r>
        <w:rPr>
          <w:rFonts w:ascii="Times New Roman" w:hAnsi="Times New Roman" w:eastAsia="宋体"/>
          <w:color w:val="auto"/>
          <w:sz w:val="36"/>
          <w:szCs w:val="36"/>
          <w:lang w:eastAsia="zh-CN"/>
        </w:rPr>
        <w:t xml:space="preserve">第一章 </w:t>
      </w:r>
      <w:bookmarkEnd w:id="1"/>
      <w:bookmarkEnd w:id="2"/>
      <w:bookmarkEnd w:id="3"/>
      <w:bookmarkEnd w:id="4"/>
      <w:bookmarkEnd w:id="5"/>
      <w:bookmarkEnd w:id="6"/>
      <w:bookmarkEnd w:id="7"/>
      <w:bookmarkEnd w:id="8"/>
      <w:bookmarkEnd w:id="9"/>
      <w:bookmarkEnd w:id="10"/>
      <w:bookmarkEnd w:id="11"/>
      <w:bookmarkEnd w:id="12"/>
      <w:bookmarkEnd w:id="13"/>
      <w:bookmarkEnd w:id="14"/>
      <w:r>
        <w:rPr>
          <w:rFonts w:ascii="Times New Roman" w:hAnsi="Times New Roman" w:eastAsia="宋体"/>
          <w:color w:val="auto"/>
          <w:sz w:val="36"/>
          <w:szCs w:val="36"/>
          <w:lang w:eastAsia="zh-CN"/>
        </w:rPr>
        <w:t>投标邀请</w:t>
      </w:r>
      <w:bookmarkEnd w:id="15"/>
      <w:bookmarkEnd w:id="16"/>
      <w:bookmarkEnd w:id="17"/>
      <w:bookmarkEnd w:id="18"/>
      <w:bookmarkEnd w:id="19"/>
    </w:p>
    <w:p w14:paraId="7C4ED411">
      <w:pPr>
        <w:spacing w:line="500" w:lineRule="exact"/>
        <w:jc w:val="center"/>
        <w:rPr>
          <w:rFonts w:hint="default" w:ascii="Times New Roman" w:hAnsi="Times New Roman" w:eastAsia="仿宋_GB2312" w:cs="Times New Roman"/>
          <w:b/>
          <w:color w:val="auto"/>
          <w:sz w:val="32"/>
          <w:szCs w:val="32"/>
          <w:lang w:eastAsia="zh-CN"/>
        </w:rPr>
      </w:pPr>
      <w:r>
        <w:rPr>
          <w:rFonts w:hint="default" w:ascii="Times New Roman" w:hAnsi="Times New Roman" w:cs="Times New Roman"/>
          <w:color w:val="auto"/>
          <w:u w:val="single"/>
          <w:lang w:val="en-US" w:eastAsia="zh-CN"/>
        </w:rPr>
        <mc:AlternateContent>
          <mc:Choice Requires="wps">
            <w:drawing>
              <wp:anchor distT="0" distB="0" distL="114300" distR="114300" simplePos="0" relativeHeight="251659264" behindDoc="0" locked="0" layoutInCell="1" allowOverlap="1">
                <wp:simplePos x="0" y="0"/>
                <wp:positionH relativeFrom="column">
                  <wp:posOffset>118745</wp:posOffset>
                </wp:positionH>
                <wp:positionV relativeFrom="paragraph">
                  <wp:posOffset>908050</wp:posOffset>
                </wp:positionV>
                <wp:extent cx="5495925" cy="2042795"/>
                <wp:effectExtent l="4445" t="5080" r="5080" b="9525"/>
                <wp:wrapTopAndBottom/>
                <wp:docPr id="22118531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5495925" cy="2042795"/>
                        </a:xfrm>
                        <a:prstGeom prst="rect">
                          <a:avLst/>
                        </a:prstGeom>
                        <a:solidFill>
                          <a:srgbClr val="FFFFFF"/>
                        </a:solidFill>
                        <a:ln w="9525" cmpd="sng">
                          <a:solidFill>
                            <a:srgbClr val="000000"/>
                          </a:solidFill>
                          <a:miter lim="800000"/>
                        </a:ln>
                        <a:effectLst/>
                      </wps:spPr>
                      <wps:txbx>
                        <w:txbxContent>
                          <w:p w14:paraId="5FEA80D5">
                            <w:pPr>
                              <w:pStyle w:val="180"/>
                              <w:spacing w:line="360" w:lineRule="auto"/>
                              <w:ind w:firstLine="562" w:firstLineChars="200"/>
                              <w:jc w:val="both"/>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项目概况</w:t>
                            </w:r>
                          </w:p>
                          <w:p w14:paraId="3A3C54DC">
                            <w:pPr>
                              <w:pStyle w:val="180"/>
                              <w:spacing w:line="360" w:lineRule="auto"/>
                              <w:ind w:firstLine="562" w:firstLineChars="2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u w:val="single"/>
                                <w:lang w:val="en"/>
                              </w:rPr>
                              <w:t>新乡医学院第一附属医院信息化基础设施及安全能力提升项目</w:t>
                            </w:r>
                            <w:r>
                              <w:rPr>
                                <w:rFonts w:hint="eastAsia" w:ascii="仿宋_GB2312" w:hAnsi="仿宋_GB2312" w:eastAsia="仿宋_GB2312" w:cs="仿宋_GB2312"/>
                                <w:color w:val="auto"/>
                                <w:sz w:val="28"/>
                                <w:szCs w:val="28"/>
                              </w:rPr>
                              <w:t>招标项目的潜在投标人应在</w:t>
                            </w:r>
                            <w:r>
                              <w:rPr>
                                <w:rFonts w:hint="eastAsia" w:ascii="仿宋_GB2312" w:hAnsi="仿宋_GB2312" w:eastAsia="仿宋_GB2312" w:cs="仿宋_GB2312"/>
                                <w:b/>
                                <w:bCs/>
                                <w:color w:val="auto"/>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62"/>
                                <w:rFonts w:hint="eastAsia" w:ascii="仿宋_GB2312" w:hAnsi="仿宋_GB2312" w:eastAsia="仿宋_GB2312" w:cs="仿宋_GB2312"/>
                                <w:b/>
                                <w:bCs/>
                                <w:color w:val="auto"/>
                                <w:sz w:val="28"/>
                                <w:szCs w:val="28"/>
                              </w:rPr>
                              <w:t>hnsggzyjy.henan.gov.cn）</w:t>
                            </w:r>
                            <w:r>
                              <w:rPr>
                                <w:rStyle w:val="62"/>
                                <w:rFonts w:hint="eastAsia" w:ascii="仿宋_GB2312" w:hAnsi="仿宋_GB2312" w:eastAsia="仿宋_GB2312" w:cs="仿宋_GB2312"/>
                                <w:color w:val="auto"/>
                                <w:sz w:val="28"/>
                                <w:szCs w:val="28"/>
                              </w:rPr>
                              <w:t>获取招标文件，并于</w:t>
                            </w:r>
                            <w:r>
                              <w:rPr>
                                <w:rStyle w:val="62"/>
                                <w:rFonts w:ascii="仿宋_GB2312" w:hAnsi="仿宋_GB2312" w:eastAsia="仿宋_GB2312" w:cs="仿宋_GB2312"/>
                                <w:b/>
                                <w:bCs/>
                                <w:color w:val="auto"/>
                                <w:sz w:val="28"/>
                                <w:szCs w:val="28"/>
                                <w:lang w:val="en"/>
                              </w:rPr>
                              <w:t>202</w:t>
                            </w:r>
                            <w:r>
                              <w:rPr>
                                <w:rStyle w:val="62"/>
                                <w:rFonts w:ascii="仿宋_GB2312" w:hAnsi="仿宋_GB2312" w:eastAsia="仿宋_GB2312" w:cs="仿宋_GB2312"/>
                                <w:b/>
                                <w:bCs/>
                                <w:color w:val="auto"/>
                                <w:sz w:val="28"/>
                                <w:szCs w:val="28"/>
                              </w:rPr>
                              <w:t>4</w:t>
                            </w:r>
                            <w:r>
                              <w:rPr>
                                <w:rStyle w:val="62"/>
                                <w:rFonts w:hint="eastAsia" w:ascii="仿宋_GB2312" w:hAnsi="仿宋_GB2312" w:eastAsia="仿宋_GB2312" w:cs="仿宋_GB2312"/>
                                <w:b/>
                                <w:bCs/>
                                <w:color w:val="auto"/>
                                <w:sz w:val="28"/>
                                <w:szCs w:val="28"/>
                              </w:rPr>
                              <w:t>年</w:t>
                            </w:r>
                            <w:r>
                              <w:rPr>
                                <w:rStyle w:val="62"/>
                                <w:rFonts w:hint="eastAsia" w:ascii="仿宋_GB2312" w:hAnsi="仿宋_GB2312" w:eastAsia="仿宋_GB2312" w:cs="仿宋_GB2312"/>
                                <w:b/>
                                <w:bCs/>
                                <w:color w:val="auto"/>
                                <w:sz w:val="28"/>
                                <w:szCs w:val="28"/>
                              </w:rPr>
                              <w:fldChar w:fldCharType="end"/>
                            </w:r>
                            <w:r>
                              <w:rPr>
                                <w:rStyle w:val="62"/>
                                <w:rFonts w:hint="eastAsia" w:ascii="仿宋_GB2312" w:hAnsi="仿宋_GB2312" w:eastAsia="仿宋_GB2312" w:cs="仿宋_GB2312"/>
                                <w:b/>
                                <w:bCs/>
                                <w:color w:val="auto"/>
                                <w:sz w:val="28"/>
                                <w:szCs w:val="28"/>
                              </w:rPr>
                              <w:t>12</w:t>
                            </w:r>
                            <w:r>
                              <w:rPr>
                                <w:rFonts w:hint="eastAsia" w:ascii="仿宋_GB2312" w:hAnsi="仿宋_GB2312" w:eastAsia="仿宋_GB2312" w:cs="仿宋_GB2312"/>
                                <w:b/>
                                <w:bCs/>
                                <w:color w:val="auto"/>
                                <w:sz w:val="28"/>
                                <w:szCs w:val="28"/>
                                <w:u w:val="single"/>
                              </w:rPr>
                              <w:t>月</w:t>
                            </w:r>
                            <w:r>
                              <w:rPr>
                                <w:rFonts w:hint="eastAsia" w:ascii="仿宋_GB2312" w:hAnsi="仿宋_GB2312" w:eastAsia="仿宋_GB2312" w:cs="仿宋_GB2312"/>
                                <w:b/>
                                <w:bCs/>
                                <w:color w:val="auto"/>
                                <w:sz w:val="28"/>
                                <w:szCs w:val="28"/>
                                <w:u w:val="single"/>
                                <w:lang w:val="en-US" w:eastAsia="zh-CN"/>
                              </w:rPr>
                              <w:t>25</w:t>
                            </w:r>
                            <w:r>
                              <w:rPr>
                                <w:rFonts w:hint="eastAsia" w:ascii="仿宋_GB2312" w:hAnsi="仿宋_GB2312" w:eastAsia="仿宋_GB2312" w:cs="仿宋_GB2312"/>
                                <w:b/>
                                <w:bCs/>
                                <w:color w:val="auto"/>
                                <w:sz w:val="28"/>
                                <w:szCs w:val="28"/>
                                <w:u w:val="single"/>
                              </w:rPr>
                              <w:t>日</w:t>
                            </w:r>
                            <w:r>
                              <w:rPr>
                                <w:rFonts w:ascii="仿宋_GB2312" w:hAnsi="仿宋_GB2312" w:eastAsia="仿宋_GB2312" w:cs="仿宋_GB2312"/>
                                <w:b/>
                                <w:bCs/>
                                <w:color w:val="auto"/>
                                <w:sz w:val="28"/>
                                <w:szCs w:val="28"/>
                                <w:u w:val="single"/>
                                <w:lang w:val="en"/>
                              </w:rPr>
                              <w:t>9</w:t>
                            </w:r>
                            <w:r>
                              <w:rPr>
                                <w:rFonts w:hint="eastAsia" w:ascii="仿宋_GB2312" w:hAnsi="仿宋_GB2312" w:eastAsia="仿宋_GB2312" w:cs="仿宋_GB2312"/>
                                <w:b/>
                                <w:bCs/>
                                <w:color w:val="auto"/>
                                <w:sz w:val="28"/>
                                <w:szCs w:val="28"/>
                                <w:u w:val="single"/>
                              </w:rPr>
                              <w:t>时</w:t>
                            </w:r>
                            <w:r>
                              <w:rPr>
                                <w:rFonts w:ascii="仿宋_GB2312" w:hAnsi="仿宋_GB2312" w:eastAsia="仿宋_GB2312" w:cs="仿宋_GB2312"/>
                                <w:b/>
                                <w:bCs/>
                                <w:color w:val="auto"/>
                                <w:sz w:val="28"/>
                                <w:szCs w:val="28"/>
                                <w:u w:val="single"/>
                                <w:lang w:val="en"/>
                              </w:rPr>
                              <w:t>00</w:t>
                            </w:r>
                            <w:r>
                              <w:rPr>
                                <w:rFonts w:hint="eastAsia" w:ascii="仿宋_GB2312" w:hAnsi="仿宋_GB2312" w:eastAsia="仿宋_GB2312" w:cs="仿宋_GB2312"/>
                                <w:b/>
                                <w:bCs/>
                                <w:color w:val="auto"/>
                                <w:sz w:val="28"/>
                                <w:szCs w:val="28"/>
                                <w:u w:val="single"/>
                              </w:rPr>
                              <w:t>分（北京时间）</w:t>
                            </w:r>
                            <w:r>
                              <w:rPr>
                                <w:rFonts w:hint="eastAsia" w:ascii="仿宋_GB2312" w:hAnsi="仿宋_GB2312" w:eastAsia="仿宋_GB2312" w:cs="仿宋_GB2312"/>
                                <w:color w:val="auto"/>
                                <w:sz w:val="28"/>
                                <w:szCs w:val="28"/>
                              </w:rPr>
                              <w:t>前递交投标文件。</w:t>
                            </w:r>
                          </w:p>
                          <w:p w14:paraId="4DDF743A">
                            <w:pPr>
                              <w:pStyle w:val="180"/>
                              <w:spacing w:line="360" w:lineRule="auto"/>
                              <w:ind w:firstLine="482"/>
                              <w:rPr>
                                <w:rFonts w:hint="eastAsia"/>
                              </w:rPr>
                            </w:pP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9.35pt;margin-top:71.5pt;height:160.85pt;width:432.75pt;mso-wrap-distance-bottom:0pt;mso-wrap-distance-top:0pt;z-index:251659264;mso-width-relative:page;mso-height-relative:page;" fillcolor="#FFFFFF" filled="t" stroked="t" coordsize="21600,21600" o:gfxdata="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WxxW9gAAAAK&#10;AQAADwAAAAAAAAABACAAAAAiAAAAZHJzL2Rvd25yZXYueG1sUEsBAhQAFAAAAAgAh07iQEWBSHFV&#10;AgAAqQQAAA4AAAAAAAAAAQAgAAAAJwEAAGRycy9lMm9Eb2MueG1sUEsFBgAAAAAGAAYAWQEAAO4F&#10;AAAAAA==&#10;">
                <v:fill on="t" focussize="0,0"/>
                <v:stroke color="#000000" miterlimit="8" joinstyle="miter"/>
                <v:imagedata o:title=""/>
                <o:lock v:ext="edit" aspectratio="f"/>
                <v:textbox>
                  <w:txbxContent>
                    <w:p w14:paraId="5FEA80D5">
                      <w:pPr>
                        <w:pStyle w:val="180"/>
                        <w:spacing w:line="360" w:lineRule="auto"/>
                        <w:ind w:firstLine="562" w:firstLineChars="200"/>
                        <w:jc w:val="both"/>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项目概况</w:t>
                      </w:r>
                    </w:p>
                    <w:p w14:paraId="3A3C54DC">
                      <w:pPr>
                        <w:pStyle w:val="180"/>
                        <w:spacing w:line="360" w:lineRule="auto"/>
                        <w:ind w:firstLine="562" w:firstLineChars="2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u w:val="single"/>
                          <w:lang w:val="en"/>
                        </w:rPr>
                        <w:t>新乡医学院第一附属医院信息化基础设施及安全能力提升项目</w:t>
                      </w:r>
                      <w:r>
                        <w:rPr>
                          <w:rFonts w:hint="eastAsia" w:ascii="仿宋_GB2312" w:hAnsi="仿宋_GB2312" w:eastAsia="仿宋_GB2312" w:cs="仿宋_GB2312"/>
                          <w:color w:val="auto"/>
                          <w:sz w:val="28"/>
                          <w:szCs w:val="28"/>
                        </w:rPr>
                        <w:t>招标项目的潜在投标人应在</w:t>
                      </w:r>
                      <w:r>
                        <w:rPr>
                          <w:rFonts w:hint="eastAsia" w:ascii="仿宋_GB2312" w:hAnsi="仿宋_GB2312" w:eastAsia="仿宋_GB2312" w:cs="仿宋_GB2312"/>
                          <w:b/>
                          <w:bCs/>
                          <w:color w:val="auto"/>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62"/>
                          <w:rFonts w:hint="eastAsia" w:ascii="仿宋_GB2312" w:hAnsi="仿宋_GB2312" w:eastAsia="仿宋_GB2312" w:cs="仿宋_GB2312"/>
                          <w:b/>
                          <w:bCs/>
                          <w:color w:val="auto"/>
                          <w:sz w:val="28"/>
                          <w:szCs w:val="28"/>
                        </w:rPr>
                        <w:t>hnsggzyjy.henan.gov.cn）</w:t>
                      </w:r>
                      <w:r>
                        <w:rPr>
                          <w:rStyle w:val="62"/>
                          <w:rFonts w:hint="eastAsia" w:ascii="仿宋_GB2312" w:hAnsi="仿宋_GB2312" w:eastAsia="仿宋_GB2312" w:cs="仿宋_GB2312"/>
                          <w:color w:val="auto"/>
                          <w:sz w:val="28"/>
                          <w:szCs w:val="28"/>
                        </w:rPr>
                        <w:t>获取招标文件，并于</w:t>
                      </w:r>
                      <w:r>
                        <w:rPr>
                          <w:rStyle w:val="62"/>
                          <w:rFonts w:ascii="仿宋_GB2312" w:hAnsi="仿宋_GB2312" w:eastAsia="仿宋_GB2312" w:cs="仿宋_GB2312"/>
                          <w:b/>
                          <w:bCs/>
                          <w:color w:val="auto"/>
                          <w:sz w:val="28"/>
                          <w:szCs w:val="28"/>
                          <w:lang w:val="en"/>
                        </w:rPr>
                        <w:t>202</w:t>
                      </w:r>
                      <w:r>
                        <w:rPr>
                          <w:rStyle w:val="62"/>
                          <w:rFonts w:ascii="仿宋_GB2312" w:hAnsi="仿宋_GB2312" w:eastAsia="仿宋_GB2312" w:cs="仿宋_GB2312"/>
                          <w:b/>
                          <w:bCs/>
                          <w:color w:val="auto"/>
                          <w:sz w:val="28"/>
                          <w:szCs w:val="28"/>
                        </w:rPr>
                        <w:t>4</w:t>
                      </w:r>
                      <w:r>
                        <w:rPr>
                          <w:rStyle w:val="62"/>
                          <w:rFonts w:hint="eastAsia" w:ascii="仿宋_GB2312" w:hAnsi="仿宋_GB2312" w:eastAsia="仿宋_GB2312" w:cs="仿宋_GB2312"/>
                          <w:b/>
                          <w:bCs/>
                          <w:color w:val="auto"/>
                          <w:sz w:val="28"/>
                          <w:szCs w:val="28"/>
                        </w:rPr>
                        <w:t>年</w:t>
                      </w:r>
                      <w:r>
                        <w:rPr>
                          <w:rStyle w:val="62"/>
                          <w:rFonts w:hint="eastAsia" w:ascii="仿宋_GB2312" w:hAnsi="仿宋_GB2312" w:eastAsia="仿宋_GB2312" w:cs="仿宋_GB2312"/>
                          <w:b/>
                          <w:bCs/>
                          <w:color w:val="auto"/>
                          <w:sz w:val="28"/>
                          <w:szCs w:val="28"/>
                        </w:rPr>
                        <w:fldChar w:fldCharType="end"/>
                      </w:r>
                      <w:r>
                        <w:rPr>
                          <w:rStyle w:val="62"/>
                          <w:rFonts w:hint="eastAsia" w:ascii="仿宋_GB2312" w:hAnsi="仿宋_GB2312" w:eastAsia="仿宋_GB2312" w:cs="仿宋_GB2312"/>
                          <w:b/>
                          <w:bCs/>
                          <w:color w:val="auto"/>
                          <w:sz w:val="28"/>
                          <w:szCs w:val="28"/>
                        </w:rPr>
                        <w:t>12</w:t>
                      </w:r>
                      <w:r>
                        <w:rPr>
                          <w:rFonts w:hint="eastAsia" w:ascii="仿宋_GB2312" w:hAnsi="仿宋_GB2312" w:eastAsia="仿宋_GB2312" w:cs="仿宋_GB2312"/>
                          <w:b/>
                          <w:bCs/>
                          <w:color w:val="auto"/>
                          <w:sz w:val="28"/>
                          <w:szCs w:val="28"/>
                          <w:u w:val="single"/>
                        </w:rPr>
                        <w:t>月</w:t>
                      </w:r>
                      <w:r>
                        <w:rPr>
                          <w:rFonts w:hint="eastAsia" w:ascii="仿宋_GB2312" w:hAnsi="仿宋_GB2312" w:eastAsia="仿宋_GB2312" w:cs="仿宋_GB2312"/>
                          <w:b/>
                          <w:bCs/>
                          <w:color w:val="auto"/>
                          <w:sz w:val="28"/>
                          <w:szCs w:val="28"/>
                          <w:u w:val="single"/>
                          <w:lang w:val="en-US" w:eastAsia="zh-CN"/>
                        </w:rPr>
                        <w:t>25</w:t>
                      </w:r>
                      <w:r>
                        <w:rPr>
                          <w:rFonts w:hint="eastAsia" w:ascii="仿宋_GB2312" w:hAnsi="仿宋_GB2312" w:eastAsia="仿宋_GB2312" w:cs="仿宋_GB2312"/>
                          <w:b/>
                          <w:bCs/>
                          <w:color w:val="auto"/>
                          <w:sz w:val="28"/>
                          <w:szCs w:val="28"/>
                          <w:u w:val="single"/>
                        </w:rPr>
                        <w:t>日</w:t>
                      </w:r>
                      <w:r>
                        <w:rPr>
                          <w:rFonts w:ascii="仿宋_GB2312" w:hAnsi="仿宋_GB2312" w:eastAsia="仿宋_GB2312" w:cs="仿宋_GB2312"/>
                          <w:b/>
                          <w:bCs/>
                          <w:color w:val="auto"/>
                          <w:sz w:val="28"/>
                          <w:szCs w:val="28"/>
                          <w:u w:val="single"/>
                          <w:lang w:val="en"/>
                        </w:rPr>
                        <w:t>9</w:t>
                      </w:r>
                      <w:r>
                        <w:rPr>
                          <w:rFonts w:hint="eastAsia" w:ascii="仿宋_GB2312" w:hAnsi="仿宋_GB2312" w:eastAsia="仿宋_GB2312" w:cs="仿宋_GB2312"/>
                          <w:b/>
                          <w:bCs/>
                          <w:color w:val="auto"/>
                          <w:sz w:val="28"/>
                          <w:szCs w:val="28"/>
                          <w:u w:val="single"/>
                        </w:rPr>
                        <w:t>时</w:t>
                      </w:r>
                      <w:r>
                        <w:rPr>
                          <w:rFonts w:ascii="仿宋_GB2312" w:hAnsi="仿宋_GB2312" w:eastAsia="仿宋_GB2312" w:cs="仿宋_GB2312"/>
                          <w:b/>
                          <w:bCs/>
                          <w:color w:val="auto"/>
                          <w:sz w:val="28"/>
                          <w:szCs w:val="28"/>
                          <w:u w:val="single"/>
                          <w:lang w:val="en"/>
                        </w:rPr>
                        <w:t>00</w:t>
                      </w:r>
                      <w:r>
                        <w:rPr>
                          <w:rFonts w:hint="eastAsia" w:ascii="仿宋_GB2312" w:hAnsi="仿宋_GB2312" w:eastAsia="仿宋_GB2312" w:cs="仿宋_GB2312"/>
                          <w:b/>
                          <w:bCs/>
                          <w:color w:val="auto"/>
                          <w:sz w:val="28"/>
                          <w:szCs w:val="28"/>
                          <w:u w:val="single"/>
                        </w:rPr>
                        <w:t>分（北京时间）</w:t>
                      </w:r>
                      <w:r>
                        <w:rPr>
                          <w:rFonts w:hint="eastAsia" w:ascii="仿宋_GB2312" w:hAnsi="仿宋_GB2312" w:eastAsia="仿宋_GB2312" w:cs="仿宋_GB2312"/>
                          <w:color w:val="auto"/>
                          <w:sz w:val="28"/>
                          <w:szCs w:val="28"/>
                        </w:rPr>
                        <w:t>前递交投标文件。</w:t>
                      </w:r>
                    </w:p>
                    <w:p w14:paraId="4DDF743A">
                      <w:pPr>
                        <w:pStyle w:val="180"/>
                        <w:spacing w:line="360" w:lineRule="auto"/>
                        <w:ind w:firstLine="482"/>
                        <w:rPr>
                          <w:rFonts w:hint="eastAsia"/>
                        </w:rPr>
                      </w:pPr>
                    </w:p>
                  </w:txbxContent>
                </v:textbox>
                <w10:wrap type="topAndBottom"/>
              </v:shape>
            </w:pict>
          </mc:Fallback>
        </mc:AlternateContent>
      </w:r>
      <w:r>
        <w:rPr>
          <w:rFonts w:hint="default" w:ascii="Times New Roman" w:hAnsi="Times New Roman" w:eastAsia="仿宋_GB2312" w:cs="Times New Roman"/>
          <w:b/>
          <w:color w:val="auto"/>
          <w:sz w:val="32"/>
          <w:szCs w:val="32"/>
          <w:lang w:val="en-US" w:eastAsia="zh-CN"/>
        </w:rPr>
        <w:t xml:space="preserve"> </w:t>
      </w:r>
      <w:r>
        <w:rPr>
          <w:rFonts w:ascii="Times New Roman" w:hAnsi="Times New Roman" w:eastAsia="仿宋_GB2312" w:cs="Times New Roman"/>
          <w:b/>
          <w:color w:val="auto"/>
          <w:sz w:val="32"/>
          <w:szCs w:val="32"/>
          <w:lang w:val="en" w:eastAsia="zh-CN"/>
        </w:rPr>
        <w:t>新乡医学院第一附属医院信息化基础设施及安全能力提升项目</w:t>
      </w:r>
      <w:r>
        <w:rPr>
          <w:rFonts w:hint="default" w:ascii="Times New Roman" w:hAnsi="Times New Roman" w:eastAsia="仿宋_GB2312" w:cs="Times New Roman"/>
          <w:b/>
          <w:color w:val="auto"/>
          <w:sz w:val="32"/>
          <w:szCs w:val="32"/>
          <w:lang w:eastAsia="zh-CN"/>
        </w:rPr>
        <w:t>-公开招标公告</w:t>
      </w:r>
    </w:p>
    <w:p w14:paraId="20CF65D0">
      <w:pPr>
        <w:spacing w:line="500" w:lineRule="exact"/>
        <w:ind w:firstLine="562"/>
        <w:jc w:val="center"/>
        <w:rPr>
          <w:rFonts w:hint="default" w:ascii="Times New Roman" w:hAnsi="Times New Roman" w:eastAsia="仿宋_GB2312" w:cs="Times New Roman"/>
          <w:b/>
          <w:color w:val="auto"/>
          <w:sz w:val="28"/>
          <w:szCs w:val="28"/>
          <w:lang w:eastAsia="zh-CN"/>
        </w:rPr>
      </w:pPr>
    </w:p>
    <w:p w14:paraId="42BE41F1">
      <w:pPr>
        <w:spacing w:line="500" w:lineRule="exact"/>
        <w:ind w:firstLine="560" w:firstLineChars="200"/>
        <w:jc w:val="left"/>
        <w:rPr>
          <w:rFonts w:hint="default" w:ascii="Times New Roman" w:hAnsi="Times New Roman" w:eastAsia="方正小标宋_GBK" w:cs="Times New Roman"/>
          <w:color w:val="auto"/>
          <w:sz w:val="28"/>
          <w:szCs w:val="28"/>
          <w:lang w:eastAsia="zh-CN"/>
        </w:rPr>
      </w:pPr>
      <w:bookmarkStart w:id="32" w:name="_Toc1853601844_WPSOffice_Level2"/>
      <w:bookmarkStart w:id="33" w:name="_Toc1456310841_WPSOffice_Level2"/>
      <w:bookmarkStart w:id="34" w:name="_Toc1811351892_WPSOffice_Level2"/>
      <w:bookmarkStart w:id="35" w:name="_Toc2031125453_WPSOffice_Level2"/>
      <w:r>
        <w:rPr>
          <w:rFonts w:hint="default" w:ascii="Times New Roman" w:hAnsi="Times New Roman" w:eastAsia="方正小标宋_GBK" w:cs="Times New Roman"/>
          <w:color w:val="auto"/>
          <w:sz w:val="28"/>
          <w:szCs w:val="28"/>
          <w:lang w:eastAsia="zh-CN"/>
        </w:rPr>
        <w:t>一、项目基本情况</w:t>
      </w:r>
      <w:bookmarkEnd w:id="32"/>
      <w:bookmarkEnd w:id="33"/>
      <w:bookmarkEnd w:id="34"/>
      <w:bookmarkEnd w:id="35"/>
    </w:p>
    <w:p w14:paraId="33545404">
      <w:pPr>
        <w:spacing w:line="500" w:lineRule="exact"/>
        <w:ind w:firstLine="560" w:firstLineChars="200"/>
        <w:rPr>
          <w:rFonts w:hint="default" w:ascii="仿宋_GB2312" w:hAnsi="Times New Roman" w:eastAsia="仿宋_GB2312" w:cs="Times New Roman"/>
          <w:color w:val="auto"/>
          <w:sz w:val="28"/>
          <w:szCs w:val="28"/>
          <w:lang w:val="en-US" w:eastAsia="zh-CN"/>
        </w:rPr>
      </w:pPr>
      <w:bookmarkStart w:id="36" w:name="_Toc120342159_WPSOffice_Level3"/>
      <w:bookmarkStart w:id="37" w:name="_Toc632830029_WPSOffice_Level3"/>
      <w:r>
        <w:rPr>
          <w:rFonts w:ascii="仿宋_GB2312" w:hAnsi="Times New Roman" w:eastAsia="仿宋_GB2312" w:cs="Times New Roman"/>
          <w:color w:val="auto"/>
          <w:sz w:val="28"/>
          <w:szCs w:val="28"/>
          <w:lang w:eastAsia="zh-CN"/>
        </w:rPr>
        <w:t>1.</w:t>
      </w:r>
      <w:r>
        <w:rPr>
          <w:rFonts w:ascii="仿宋_GB2312" w:hAnsi="Times New Roman" w:eastAsia="仿宋_GB2312" w:cs="Times New Roman"/>
          <w:color w:val="auto"/>
          <w:sz w:val="28"/>
          <w:szCs w:val="28"/>
          <w:lang w:val="en" w:eastAsia="zh-CN"/>
        </w:rPr>
        <w:t>项目编号</w:t>
      </w:r>
      <w:r>
        <w:rPr>
          <w:rFonts w:ascii="仿宋_GB2312" w:hAnsi="Times New Roman" w:eastAsia="仿宋_GB2312" w:cs="Times New Roman"/>
          <w:color w:val="auto"/>
          <w:sz w:val="28"/>
          <w:szCs w:val="28"/>
          <w:lang w:eastAsia="zh-CN"/>
        </w:rPr>
        <w:t>：</w:t>
      </w:r>
      <w:bookmarkEnd w:id="36"/>
      <w:bookmarkEnd w:id="37"/>
      <w:r>
        <w:rPr>
          <w:rFonts w:ascii="仿宋_GB2312" w:hAnsi="Times New Roman" w:eastAsia="仿宋_GB2312" w:cs="Times New Roman"/>
          <w:color w:val="auto"/>
          <w:sz w:val="28"/>
          <w:szCs w:val="28"/>
          <w:lang w:val="en" w:eastAsia="zh-CN"/>
        </w:rPr>
        <w:t>豫财招标采购-2024-1257</w:t>
      </w:r>
    </w:p>
    <w:p w14:paraId="20755560">
      <w:pPr>
        <w:spacing w:line="500" w:lineRule="exact"/>
        <w:ind w:firstLine="560" w:firstLineChars="200"/>
        <w:rPr>
          <w:rFonts w:hint="default" w:ascii="仿宋_GB2312" w:hAnsi="Times New Roman" w:eastAsia="仿宋_GB2312" w:cs="Times New Roman"/>
          <w:color w:val="auto"/>
          <w:sz w:val="28"/>
          <w:szCs w:val="28"/>
          <w:lang w:val="en" w:eastAsia="zh-CN"/>
        </w:rPr>
      </w:pPr>
      <w:bookmarkStart w:id="38" w:name="_Toc1019416_WPSOffice_Level3"/>
      <w:bookmarkStart w:id="39" w:name="_Toc2136105441_WPSOffice_Level3"/>
      <w:r>
        <w:rPr>
          <w:rFonts w:ascii="仿宋_GB2312" w:hAnsi="Times New Roman" w:eastAsia="仿宋_GB2312" w:cs="Times New Roman"/>
          <w:color w:val="auto"/>
          <w:sz w:val="28"/>
          <w:szCs w:val="28"/>
          <w:lang w:eastAsia="zh-CN"/>
        </w:rPr>
        <w:t>2.项目名称：</w:t>
      </w:r>
      <w:bookmarkEnd w:id="38"/>
      <w:bookmarkEnd w:id="39"/>
      <w:r>
        <w:rPr>
          <w:rFonts w:ascii="仿宋_GB2312" w:hAnsi="Times New Roman" w:eastAsia="仿宋_GB2312" w:cs="Times New Roman"/>
          <w:color w:val="auto"/>
          <w:sz w:val="28"/>
          <w:szCs w:val="28"/>
          <w:lang w:val="en" w:eastAsia="zh-CN"/>
        </w:rPr>
        <w:t>新乡医学院第一附属医院信息化基础设施及安全能力提升项目</w:t>
      </w:r>
    </w:p>
    <w:p w14:paraId="19303E31">
      <w:pPr>
        <w:spacing w:line="240" w:lineRule="auto"/>
        <w:ind w:firstLine="560" w:firstLineChars="200"/>
        <w:rPr>
          <w:rFonts w:hint="default" w:ascii="仿宋_GB2312" w:hAnsi="Times New Roman" w:eastAsia="仿宋_GB2312" w:cs="Times New Roman"/>
          <w:color w:val="auto"/>
          <w:sz w:val="28"/>
          <w:szCs w:val="28"/>
          <w:lang w:eastAsia="zh-CN"/>
        </w:rPr>
      </w:pPr>
      <w:bookmarkStart w:id="40" w:name="_Toc997609044_WPSOffice_Level3"/>
      <w:bookmarkStart w:id="41" w:name="_Toc1331877378_WPSOffice_Level3"/>
      <w:r>
        <w:rPr>
          <w:rFonts w:ascii="仿宋_GB2312" w:hAnsi="Times New Roman" w:eastAsia="仿宋_GB2312" w:cs="Times New Roman"/>
          <w:color w:val="auto"/>
          <w:sz w:val="28"/>
          <w:szCs w:val="28"/>
          <w:lang w:eastAsia="zh-CN"/>
        </w:rPr>
        <w:t>3.采购方式：公开招标</w:t>
      </w:r>
      <w:bookmarkEnd w:id="40"/>
      <w:bookmarkEnd w:id="41"/>
    </w:p>
    <w:p w14:paraId="643B0376">
      <w:pPr>
        <w:spacing w:line="240" w:lineRule="auto"/>
        <w:ind w:firstLine="560" w:firstLineChars="20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4.预算金额：</w:t>
      </w:r>
      <w:r>
        <w:rPr>
          <w:rFonts w:ascii="仿宋_GB2312" w:hAnsi="Times New Roman" w:eastAsia="仿宋_GB2312" w:cs="Times New Roman"/>
          <w:color w:val="auto"/>
          <w:sz w:val="28"/>
          <w:szCs w:val="28"/>
          <w:lang w:val="en-US" w:eastAsia="zh-CN"/>
        </w:rPr>
        <w:t>6700000</w:t>
      </w:r>
      <w:r>
        <w:rPr>
          <w:rFonts w:ascii="仿宋_GB2312" w:hAnsi="Times New Roman" w:eastAsia="仿宋_GB2312" w:cs="Times New Roman"/>
          <w:color w:val="auto"/>
          <w:sz w:val="28"/>
          <w:szCs w:val="28"/>
          <w:lang w:eastAsia="zh-CN"/>
        </w:rPr>
        <w:t>元</w:t>
      </w:r>
    </w:p>
    <w:p w14:paraId="45D66A07">
      <w:pPr>
        <w:spacing w:line="240" w:lineRule="auto"/>
        <w:ind w:firstLine="560" w:firstLineChars="20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最高限价：</w:t>
      </w:r>
      <w:r>
        <w:rPr>
          <w:rFonts w:ascii="仿宋_GB2312" w:hAnsi="Times New Roman" w:eastAsia="仿宋_GB2312" w:cs="Times New Roman"/>
          <w:color w:val="auto"/>
          <w:sz w:val="28"/>
          <w:szCs w:val="28"/>
          <w:lang w:val="en-US" w:eastAsia="zh-CN"/>
        </w:rPr>
        <w:t>6700000</w:t>
      </w:r>
      <w:r>
        <w:rPr>
          <w:rFonts w:ascii="仿宋_GB2312" w:hAnsi="Times New Roman" w:eastAsia="仿宋_GB2312" w:cs="Times New Roman"/>
          <w:color w:val="auto"/>
          <w:sz w:val="28"/>
          <w:szCs w:val="28"/>
          <w:lang w:eastAsia="zh-CN"/>
        </w:rPr>
        <w:t>元</w:t>
      </w:r>
    </w:p>
    <w:tbl>
      <w:tblPr>
        <w:tblStyle w:val="51"/>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autofit"/>
        <w:tblCellMar>
          <w:top w:w="0" w:type="dxa"/>
          <w:left w:w="0" w:type="dxa"/>
          <w:bottom w:w="0" w:type="dxa"/>
          <w:right w:w="0" w:type="dxa"/>
        </w:tblCellMar>
      </w:tblPr>
      <w:tblGrid>
        <w:gridCol w:w="628"/>
        <w:gridCol w:w="2579"/>
        <w:gridCol w:w="2577"/>
        <w:gridCol w:w="1267"/>
        <w:gridCol w:w="1415"/>
      </w:tblGrid>
      <w:tr w14:paraId="1FCF8DF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 w:hRule="atLeast"/>
          <w:jc w:val="center"/>
        </w:trPr>
        <w:tc>
          <w:tcPr>
            <w:tcW w:w="62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BDB3684">
            <w:pPr>
              <w:spacing w:after="0" w:line="360" w:lineRule="exact"/>
              <w:jc w:val="center"/>
              <w:rPr>
                <w:rFonts w:ascii="仿宋" w:hAnsi="仿宋" w:eastAsia="仿宋" w:cs="仿宋"/>
                <w:b/>
                <w:bCs/>
                <w:color w:val="auto"/>
                <w:kern w:val="0"/>
                <w:sz w:val="24"/>
                <w:szCs w:val="24"/>
              </w:rPr>
            </w:pPr>
            <w:bookmarkStart w:id="42" w:name="_Toc91128674_WPSOffice_Level3"/>
            <w:bookmarkStart w:id="43" w:name="_Toc654106674_WPSOffice_Level3"/>
            <w:r>
              <w:rPr>
                <w:rFonts w:ascii="仿宋" w:hAnsi="仿宋" w:eastAsia="仿宋" w:cs="仿宋"/>
                <w:b/>
                <w:bCs/>
                <w:color w:val="auto"/>
                <w:kern w:val="0"/>
                <w:sz w:val="24"/>
                <w:szCs w:val="24"/>
              </w:rPr>
              <w:t>序号</w:t>
            </w:r>
          </w:p>
        </w:tc>
        <w:tc>
          <w:tcPr>
            <w:tcW w:w="257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D67AD32">
            <w:pPr>
              <w:spacing w:after="0" w:line="360" w:lineRule="exact"/>
              <w:jc w:val="center"/>
              <w:rPr>
                <w:rFonts w:ascii="仿宋" w:hAnsi="仿宋" w:eastAsia="仿宋" w:cs="仿宋"/>
                <w:b/>
                <w:bCs/>
                <w:color w:val="auto"/>
                <w:kern w:val="0"/>
                <w:sz w:val="24"/>
                <w:szCs w:val="24"/>
              </w:rPr>
            </w:pPr>
            <w:r>
              <w:rPr>
                <w:rFonts w:ascii="仿宋" w:hAnsi="仿宋" w:eastAsia="仿宋" w:cs="仿宋"/>
                <w:b/>
                <w:bCs/>
                <w:color w:val="auto"/>
                <w:kern w:val="0"/>
                <w:sz w:val="24"/>
                <w:szCs w:val="24"/>
              </w:rPr>
              <w:t>包号</w:t>
            </w:r>
          </w:p>
        </w:tc>
        <w:tc>
          <w:tcPr>
            <w:tcW w:w="257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A28540B">
            <w:pPr>
              <w:spacing w:after="0" w:line="360" w:lineRule="exact"/>
              <w:jc w:val="center"/>
              <w:rPr>
                <w:rFonts w:ascii="仿宋" w:hAnsi="仿宋" w:eastAsia="仿宋" w:cs="仿宋"/>
                <w:b/>
                <w:bCs/>
                <w:color w:val="auto"/>
                <w:kern w:val="0"/>
                <w:sz w:val="24"/>
                <w:szCs w:val="24"/>
              </w:rPr>
            </w:pPr>
            <w:r>
              <w:rPr>
                <w:rFonts w:ascii="仿宋" w:hAnsi="仿宋" w:eastAsia="仿宋" w:cs="仿宋"/>
                <w:b/>
                <w:bCs/>
                <w:color w:val="auto"/>
                <w:kern w:val="0"/>
                <w:sz w:val="24"/>
                <w:szCs w:val="24"/>
              </w:rPr>
              <w:t>包名称</w:t>
            </w:r>
          </w:p>
        </w:tc>
        <w:tc>
          <w:tcPr>
            <w:tcW w:w="12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CF4F263">
            <w:pPr>
              <w:spacing w:after="0" w:line="360" w:lineRule="exact"/>
              <w:jc w:val="center"/>
              <w:rPr>
                <w:rFonts w:ascii="仿宋" w:hAnsi="仿宋" w:eastAsia="仿宋" w:cs="仿宋"/>
                <w:b/>
                <w:bCs/>
                <w:color w:val="auto"/>
                <w:kern w:val="0"/>
                <w:sz w:val="24"/>
                <w:szCs w:val="24"/>
              </w:rPr>
            </w:pPr>
            <w:r>
              <w:rPr>
                <w:rFonts w:ascii="仿宋" w:hAnsi="仿宋" w:eastAsia="仿宋" w:cs="仿宋"/>
                <w:b/>
                <w:bCs/>
                <w:color w:val="auto"/>
                <w:kern w:val="0"/>
                <w:sz w:val="24"/>
                <w:szCs w:val="24"/>
              </w:rPr>
              <w:t>包预算（元）</w:t>
            </w:r>
          </w:p>
        </w:tc>
        <w:tc>
          <w:tcPr>
            <w:tcW w:w="141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19D7901">
            <w:pPr>
              <w:spacing w:after="0" w:line="360" w:lineRule="exact"/>
              <w:jc w:val="center"/>
              <w:rPr>
                <w:rFonts w:ascii="仿宋" w:hAnsi="仿宋" w:eastAsia="仿宋" w:cs="仿宋"/>
                <w:b/>
                <w:bCs/>
                <w:color w:val="auto"/>
                <w:kern w:val="0"/>
                <w:sz w:val="24"/>
                <w:szCs w:val="24"/>
              </w:rPr>
            </w:pPr>
            <w:r>
              <w:rPr>
                <w:rFonts w:ascii="仿宋" w:hAnsi="仿宋" w:eastAsia="仿宋" w:cs="仿宋"/>
                <w:b/>
                <w:bCs/>
                <w:color w:val="auto"/>
                <w:kern w:val="0"/>
                <w:sz w:val="24"/>
                <w:szCs w:val="24"/>
              </w:rPr>
              <w:t>包最高限价（元）</w:t>
            </w:r>
          </w:p>
        </w:tc>
      </w:tr>
      <w:tr w14:paraId="58B106E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45" w:hRule="atLeast"/>
          <w:jc w:val="center"/>
        </w:trPr>
        <w:tc>
          <w:tcPr>
            <w:tcW w:w="62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4701ED9">
            <w:pPr>
              <w:spacing w:after="0" w:line="360" w:lineRule="exact"/>
              <w:jc w:val="center"/>
              <w:rPr>
                <w:rFonts w:ascii="仿宋" w:hAnsi="仿宋" w:eastAsia="仿宋" w:cs="仿宋"/>
                <w:color w:val="auto"/>
                <w:kern w:val="0"/>
                <w:sz w:val="24"/>
                <w:szCs w:val="24"/>
              </w:rPr>
            </w:pPr>
            <w:r>
              <w:rPr>
                <w:rFonts w:ascii="仿宋" w:hAnsi="仿宋" w:eastAsia="仿宋" w:cs="仿宋"/>
                <w:color w:val="auto"/>
                <w:kern w:val="0"/>
                <w:sz w:val="24"/>
                <w:szCs w:val="24"/>
                <w:lang w:val="en-US"/>
              </w:rPr>
              <w:t>1</w:t>
            </w:r>
          </w:p>
        </w:tc>
        <w:tc>
          <w:tcPr>
            <w:tcW w:w="257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ACACD0E">
            <w:pPr>
              <w:spacing w:after="0" w:line="360" w:lineRule="exact"/>
              <w:jc w:val="left"/>
              <w:rPr>
                <w:rFonts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豫政采(1)20240236-1</w:t>
            </w:r>
          </w:p>
        </w:tc>
        <w:tc>
          <w:tcPr>
            <w:tcW w:w="257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B380812">
            <w:pPr>
              <w:spacing w:after="0" w:line="360" w:lineRule="exact"/>
              <w:jc w:val="left"/>
              <w:rPr>
                <w:rFonts w:ascii="仿宋" w:hAnsi="仿宋" w:eastAsia="仿宋" w:cs="仿宋"/>
                <w:color w:val="auto"/>
                <w:kern w:val="0"/>
                <w:sz w:val="24"/>
                <w:szCs w:val="24"/>
                <w:lang w:val="en-US" w:eastAsia="zh-CN"/>
              </w:rPr>
            </w:pPr>
            <w:r>
              <w:rPr>
                <w:rFonts w:ascii="仿宋" w:hAnsi="仿宋" w:eastAsia="仿宋" w:cs="仿宋"/>
                <w:color w:val="auto"/>
                <w:kern w:val="0"/>
                <w:sz w:val="24"/>
                <w:szCs w:val="24"/>
                <w:lang w:val="en" w:eastAsia="zh-CN"/>
              </w:rPr>
              <w:t>新乡医学院第一附属医院信息化基础设施及安全能力提升项目</w:t>
            </w:r>
          </w:p>
        </w:tc>
        <w:tc>
          <w:tcPr>
            <w:tcW w:w="12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3A7A721">
            <w:pPr>
              <w:spacing w:after="0" w:line="360" w:lineRule="exact"/>
              <w:jc w:val="center"/>
              <w:rPr>
                <w:rFonts w:ascii="仿宋" w:hAnsi="仿宋" w:eastAsia="仿宋" w:cs="仿宋"/>
                <w:color w:val="auto"/>
                <w:kern w:val="0"/>
                <w:sz w:val="24"/>
                <w:szCs w:val="24"/>
                <w:lang w:val="en-US" w:eastAsia="zh-CN"/>
              </w:rPr>
            </w:pPr>
            <w:r>
              <w:rPr>
                <w:rFonts w:ascii="仿宋" w:hAnsi="仿宋" w:eastAsia="仿宋" w:cs="仿宋"/>
                <w:color w:val="auto"/>
                <w:kern w:val="0"/>
                <w:sz w:val="24"/>
                <w:szCs w:val="24"/>
                <w:lang w:val="en-US" w:eastAsia="zh-CN"/>
              </w:rPr>
              <w:t>6700000</w:t>
            </w:r>
          </w:p>
        </w:tc>
        <w:tc>
          <w:tcPr>
            <w:tcW w:w="141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9CAF9B7">
            <w:pPr>
              <w:spacing w:after="0" w:line="360" w:lineRule="exact"/>
              <w:jc w:val="center"/>
              <w:rPr>
                <w:rFonts w:ascii="仿宋" w:hAnsi="仿宋" w:eastAsia="仿宋" w:cs="仿宋"/>
                <w:color w:val="auto"/>
                <w:kern w:val="0"/>
                <w:sz w:val="24"/>
                <w:szCs w:val="24"/>
                <w:lang w:val="en-US" w:eastAsia="zh-CN"/>
              </w:rPr>
            </w:pPr>
            <w:r>
              <w:rPr>
                <w:rFonts w:ascii="仿宋" w:hAnsi="仿宋" w:eastAsia="仿宋" w:cs="仿宋"/>
                <w:color w:val="auto"/>
                <w:kern w:val="0"/>
                <w:sz w:val="24"/>
                <w:szCs w:val="24"/>
                <w:lang w:val="en-US" w:eastAsia="zh-CN"/>
              </w:rPr>
              <w:t>6700000</w:t>
            </w:r>
          </w:p>
        </w:tc>
      </w:tr>
      <w:bookmarkEnd w:id="42"/>
      <w:bookmarkEnd w:id="43"/>
    </w:tbl>
    <w:p w14:paraId="2FF977D9">
      <w:pPr>
        <w:spacing w:line="500" w:lineRule="exact"/>
        <w:ind w:firstLine="560" w:firstLineChars="200"/>
        <w:rPr>
          <w:rFonts w:hint="default" w:ascii="仿宋_GB2312" w:hAnsi="Times New Roman" w:eastAsia="仿宋_GB2312" w:cs="Times New Roman"/>
          <w:color w:val="auto"/>
          <w:sz w:val="28"/>
          <w:szCs w:val="28"/>
          <w:lang w:val="en-US" w:eastAsia="zh-CN"/>
        </w:rPr>
      </w:pPr>
      <w:bookmarkStart w:id="44" w:name="_Toc1585577024_WPSOffice_Level3"/>
      <w:bookmarkStart w:id="45" w:name="_Toc1882423541_WPSOffice_Level3"/>
      <w:r>
        <w:rPr>
          <w:rFonts w:ascii="仿宋_GB2312" w:hAnsi="Times New Roman" w:eastAsia="仿宋_GB2312" w:cs="Times New Roman"/>
          <w:color w:val="auto"/>
          <w:sz w:val="28"/>
          <w:szCs w:val="28"/>
          <w:lang w:val="en-US" w:eastAsia="zh-CN"/>
        </w:rPr>
        <w:t>5.采购需求（包括但不限于标的的名称、数量、简要技术需求或服务要求等）</w:t>
      </w:r>
      <w:bookmarkEnd w:id="44"/>
      <w:bookmarkEnd w:id="45"/>
    </w:p>
    <w:p w14:paraId="009AFD20">
      <w:pPr>
        <w:spacing w:line="500" w:lineRule="exact"/>
        <w:ind w:firstLine="560" w:firstLineChars="200"/>
        <w:rPr>
          <w:lang w:val="en-US" w:eastAsia="zh-CN"/>
        </w:rPr>
      </w:pPr>
      <w:bookmarkStart w:id="46" w:name="_Toc1031072132_WPSOffice_Level3"/>
      <w:bookmarkStart w:id="47" w:name="_Toc1866155745_WPSOffice_Level3"/>
      <w:r>
        <w:rPr>
          <w:rFonts w:ascii="仿宋_GB2312" w:hAnsi="Times New Roman" w:eastAsia="仿宋_GB2312" w:cs="Times New Roman"/>
          <w:color w:val="auto"/>
          <w:sz w:val="28"/>
          <w:szCs w:val="28"/>
          <w:lang w:val="en-US" w:eastAsia="zh-CN"/>
        </w:rPr>
        <w:t xml:space="preserve">（1）采购内容： </w:t>
      </w:r>
      <w:r>
        <w:rPr>
          <w:rFonts w:ascii="仿宋_GB2312" w:hAnsi="Times New Roman" w:eastAsia="仿宋_GB2312" w:cs="Times New Roman"/>
          <w:color w:val="auto"/>
          <w:sz w:val="28"/>
          <w:szCs w:val="28"/>
          <w:lang w:val="en" w:eastAsia="zh-CN"/>
        </w:rPr>
        <w:t>新乡医学院第一附属医院信息化基础设施及安全能力提升项目</w:t>
      </w:r>
      <w:r>
        <w:rPr>
          <w:rFonts w:ascii="仿宋_GB2312" w:hAnsi="Times New Roman" w:eastAsia="仿宋_GB2312" w:cs="Times New Roman"/>
          <w:color w:val="auto"/>
          <w:sz w:val="28"/>
          <w:szCs w:val="28"/>
          <w:lang w:val="en-US" w:eastAsia="zh-CN"/>
        </w:rPr>
        <w:t>，共分1个包，包括：虚拟化服务器8台、PACS服务器4台、虚拟化软件及授权1套、PACS存储1台、业务存储2台、光纤交换机4台、备份一体机1台、25G交换机4台、内网&amp;外网准入系统1项、数据中心防火墙2台、WAF1台、集成服务1项、驻场服务1人</w:t>
      </w:r>
      <w:r>
        <w:rPr>
          <w:rFonts w:hint="eastAsia" w:ascii="仿宋_GB2312" w:hAnsi="Times New Roman" w:eastAsia="仿宋_GB2312" w:cs="Times New Roman"/>
          <w:color w:val="auto"/>
          <w:sz w:val="28"/>
          <w:szCs w:val="28"/>
          <w:lang w:val="en-US" w:eastAsia="zh-CN"/>
        </w:rPr>
        <w:t>；硬件设备</w:t>
      </w:r>
      <w:r>
        <w:rPr>
          <w:rFonts w:ascii="仿宋_GB2312" w:hAnsi="Times New Roman" w:eastAsia="仿宋_GB2312" w:cs="Times New Roman"/>
          <w:color w:val="auto"/>
          <w:sz w:val="28"/>
          <w:szCs w:val="28"/>
          <w:lang w:val="en-US" w:eastAsia="zh-CN"/>
        </w:rPr>
        <w:t>三</w:t>
      </w:r>
      <w:r>
        <w:rPr>
          <w:rFonts w:ascii="仿宋_GB2312" w:hAnsi="仿宋" w:eastAsia="仿宋_GB2312" w:cs="仿宋"/>
          <w:iCs/>
          <w:color w:val="auto"/>
          <w:sz w:val="28"/>
          <w:szCs w:val="28"/>
          <w:lang w:val="en-US" w:eastAsia="zh-CN"/>
        </w:rPr>
        <w:t>年</w:t>
      </w:r>
      <w:r>
        <w:rPr>
          <w:rFonts w:hint="eastAsia" w:ascii="仿宋_GB2312" w:hAnsi="Times New Roman" w:eastAsia="仿宋_GB2312" w:cs="Times New Roman"/>
          <w:color w:val="auto"/>
          <w:sz w:val="28"/>
          <w:szCs w:val="28"/>
          <w:lang w:val="en-US" w:eastAsia="zh-CN"/>
        </w:rPr>
        <w:t>原厂质保。</w:t>
      </w:r>
    </w:p>
    <w:p w14:paraId="455550D3">
      <w:pPr>
        <w:spacing w:line="500" w:lineRule="exact"/>
        <w:ind w:firstLine="560" w:firstLineChars="200"/>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（2）交货期：</w:t>
      </w:r>
      <w:r>
        <w:rPr>
          <w:rFonts w:hint="default" w:ascii="仿宋_GB2312" w:hAnsi="Times New Roman" w:eastAsia="仿宋_GB2312" w:cs="Times New Roman"/>
          <w:color w:val="auto"/>
          <w:sz w:val="28"/>
          <w:szCs w:val="28"/>
          <w:lang w:val="en" w:eastAsia="zh-CN"/>
        </w:rPr>
        <w:t>合同签订后30个日历日内完成本项目的供货、安装及调试。</w:t>
      </w:r>
    </w:p>
    <w:p w14:paraId="6354FB8A">
      <w:pPr>
        <w:spacing w:line="500" w:lineRule="exact"/>
        <w:ind w:firstLine="560" w:firstLineChars="200"/>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（3）交货地点：新乡医学院第一附属医院院内（卫辉市健康路88号）。</w:t>
      </w:r>
    </w:p>
    <w:p w14:paraId="47F36A59">
      <w:pPr>
        <w:spacing w:line="500" w:lineRule="exact"/>
        <w:ind w:firstLine="560" w:firstLineChars="200"/>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（4）质量标准：</w:t>
      </w:r>
      <w:r>
        <w:rPr>
          <w:rFonts w:ascii="仿宋_GB2312" w:hAnsi="仿宋" w:eastAsia="仿宋_GB2312" w:cs="仿宋"/>
          <w:iCs/>
          <w:color w:val="auto"/>
          <w:sz w:val="28"/>
          <w:szCs w:val="28"/>
          <w:lang w:val="en-US" w:eastAsia="zh-CN"/>
        </w:rPr>
        <w:t>合格，符合国家相关验收规范标准。</w:t>
      </w:r>
    </w:p>
    <w:p w14:paraId="7B968DFB">
      <w:pPr>
        <w:spacing w:line="500" w:lineRule="exact"/>
        <w:ind w:firstLine="560" w:firstLineChars="200"/>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（5）质量保证期：</w:t>
      </w:r>
      <w:r>
        <w:rPr>
          <w:rFonts w:hint="eastAsia" w:ascii="仿宋_GB2312" w:hAnsi="Times New Roman" w:eastAsia="仿宋_GB2312" w:cs="Times New Roman"/>
          <w:color w:val="auto"/>
          <w:sz w:val="28"/>
          <w:szCs w:val="28"/>
          <w:lang w:val="en-US" w:eastAsia="zh-CN"/>
        </w:rPr>
        <w:t>3</w:t>
      </w:r>
      <w:r>
        <w:rPr>
          <w:rFonts w:ascii="仿宋_GB2312" w:hAnsi="Times New Roman" w:eastAsia="仿宋_GB2312" w:cs="Times New Roman"/>
          <w:color w:val="auto"/>
          <w:sz w:val="28"/>
          <w:szCs w:val="28"/>
          <w:lang w:val="en-US" w:eastAsia="zh-CN"/>
        </w:rPr>
        <w:t>年</w:t>
      </w:r>
      <w:r>
        <w:rPr>
          <w:rFonts w:hint="eastAsia" w:ascii="仿宋_GB2312" w:hAnsi="Times New Roman" w:eastAsia="仿宋_GB2312" w:cs="Times New Roman"/>
          <w:color w:val="auto"/>
          <w:sz w:val="28"/>
          <w:szCs w:val="28"/>
          <w:lang w:val="en-US" w:eastAsia="zh-CN"/>
        </w:rPr>
        <w:t>，</w:t>
      </w:r>
      <w:r>
        <w:rPr>
          <w:rFonts w:ascii="仿宋_GB2312" w:hAnsi="Times New Roman" w:eastAsia="仿宋_GB2312" w:cs="Times New Roman"/>
          <w:color w:val="auto"/>
          <w:sz w:val="28"/>
          <w:szCs w:val="28"/>
          <w:lang w:val="en-US" w:eastAsia="zh-CN"/>
        </w:rPr>
        <w:t>从验收合格之日起开始计算。</w:t>
      </w:r>
    </w:p>
    <w:p w14:paraId="2E51EB38">
      <w:pPr>
        <w:spacing w:line="500" w:lineRule="exact"/>
        <w:ind w:firstLine="560" w:firstLineChars="200"/>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6.合同履行期限：</w:t>
      </w:r>
      <w:bookmarkEnd w:id="46"/>
      <w:bookmarkEnd w:id="47"/>
      <w:r>
        <w:rPr>
          <w:rFonts w:ascii="仿宋_GB2312" w:hAnsi="Times New Roman" w:eastAsia="仿宋_GB2312" w:cs="Times New Roman"/>
          <w:color w:val="auto"/>
          <w:sz w:val="28"/>
          <w:szCs w:val="28"/>
          <w:lang w:val="en-US" w:eastAsia="zh-CN"/>
        </w:rPr>
        <w:t>同交货期</w:t>
      </w:r>
    </w:p>
    <w:p w14:paraId="49B939CE">
      <w:pPr>
        <w:spacing w:line="500" w:lineRule="exact"/>
        <w:ind w:firstLine="560" w:firstLineChars="200"/>
        <w:rPr>
          <w:rFonts w:hint="default" w:ascii="仿宋_GB2312" w:hAnsi="Times New Roman" w:eastAsia="仿宋_GB2312" w:cs="Times New Roman"/>
          <w:color w:val="auto"/>
          <w:sz w:val="28"/>
          <w:szCs w:val="28"/>
          <w:lang w:val="en-US" w:eastAsia="zh-CN"/>
        </w:rPr>
      </w:pPr>
      <w:bookmarkStart w:id="48" w:name="_Toc1547155158_WPSOffice_Level3"/>
      <w:bookmarkStart w:id="49" w:name="_Toc804008546_WPSOffice_Level3"/>
      <w:r>
        <w:rPr>
          <w:rFonts w:ascii="仿宋_GB2312" w:hAnsi="Times New Roman" w:eastAsia="仿宋_GB2312" w:cs="Times New Roman"/>
          <w:color w:val="auto"/>
          <w:sz w:val="28"/>
          <w:szCs w:val="28"/>
          <w:lang w:val="en-US" w:eastAsia="zh-CN"/>
        </w:rPr>
        <w:t>7.本项目是否接受联合体投标：否</w:t>
      </w:r>
      <w:bookmarkEnd w:id="48"/>
      <w:bookmarkEnd w:id="49"/>
    </w:p>
    <w:p w14:paraId="0A88C4BF">
      <w:pPr>
        <w:spacing w:line="500" w:lineRule="exact"/>
        <w:ind w:firstLine="560" w:firstLineChars="200"/>
        <w:rPr>
          <w:rFonts w:hint="default" w:ascii="仿宋_GB2312" w:hAnsi="Times New Roman" w:eastAsia="仿宋_GB2312" w:cs="Times New Roman"/>
          <w:color w:val="auto"/>
          <w:sz w:val="28"/>
          <w:szCs w:val="28"/>
          <w:lang w:val="en-US" w:eastAsia="zh-CN"/>
        </w:rPr>
      </w:pPr>
      <w:bookmarkStart w:id="50" w:name="_Toc1075148766_WPSOffice_Level3"/>
      <w:bookmarkStart w:id="51" w:name="_Toc1454916570_WPSOffice_Level3"/>
      <w:r>
        <w:rPr>
          <w:rFonts w:ascii="仿宋_GB2312" w:hAnsi="Times New Roman" w:eastAsia="仿宋_GB2312" w:cs="Times New Roman"/>
          <w:color w:val="auto"/>
          <w:sz w:val="28"/>
          <w:szCs w:val="28"/>
          <w:lang w:val="en-US" w:eastAsia="zh-CN"/>
        </w:rPr>
        <w:t>8.是否允许采购进口产品：否</w:t>
      </w:r>
      <w:bookmarkEnd w:id="50"/>
      <w:bookmarkEnd w:id="51"/>
    </w:p>
    <w:p w14:paraId="07FF71C4">
      <w:pPr>
        <w:pStyle w:val="17"/>
        <w:spacing w:line="500" w:lineRule="exact"/>
        <w:ind w:firstLine="560" w:firstLineChars="200"/>
        <w:jc w:val="both"/>
        <w:rPr>
          <w:rFonts w:ascii="仿宋_GB2312" w:hAnsi="Times New Roman" w:eastAsia="仿宋_GB2312" w:cs="Times New Roman"/>
          <w:color w:val="auto"/>
          <w:kern w:val="2"/>
          <w:sz w:val="28"/>
          <w:szCs w:val="28"/>
        </w:rPr>
      </w:pPr>
      <w:r>
        <w:rPr>
          <w:rFonts w:hint="eastAsia" w:ascii="仿宋_GB2312" w:hAnsi="Times New Roman" w:eastAsia="仿宋_GB2312" w:cs="Times New Roman"/>
          <w:color w:val="auto"/>
          <w:kern w:val="2"/>
          <w:sz w:val="28"/>
          <w:szCs w:val="28"/>
        </w:rPr>
        <w:t>9．是否专门面向中小企业：否</w:t>
      </w:r>
    </w:p>
    <w:p w14:paraId="63D70F19">
      <w:pPr>
        <w:spacing w:line="50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52" w:name="_Toc407944620_WPSOffice_Level2"/>
      <w:bookmarkStart w:id="53" w:name="_Toc2026118901_WPSOffice_Level2"/>
      <w:bookmarkStart w:id="54" w:name="_Toc1298400066_WPSOffice_Level2"/>
      <w:bookmarkStart w:id="55" w:name="_Toc584363550_WPSOffice_Level2"/>
      <w:r>
        <w:rPr>
          <w:rFonts w:hint="default" w:ascii="Times New Roman" w:hAnsi="Times New Roman" w:eastAsia="方正小标宋_GBK" w:cs="Times New Roman"/>
          <w:color w:val="auto"/>
          <w:sz w:val="28"/>
          <w:szCs w:val="28"/>
          <w:lang w:val="en-US" w:eastAsia="zh-CN"/>
        </w:rPr>
        <w:t>二、申请人资格要求</w:t>
      </w:r>
      <w:bookmarkEnd w:id="52"/>
      <w:bookmarkEnd w:id="53"/>
      <w:bookmarkEnd w:id="54"/>
      <w:bookmarkEnd w:id="55"/>
      <w:r>
        <w:rPr>
          <w:rFonts w:hint="default" w:ascii="Times New Roman" w:hAnsi="Times New Roman" w:eastAsia="仿宋_GB2312" w:cs="Times New Roman"/>
          <w:color w:val="auto"/>
          <w:sz w:val="28"/>
          <w:szCs w:val="28"/>
          <w:lang w:val="en-US" w:eastAsia="zh-CN"/>
        </w:rPr>
        <w:t>：</w:t>
      </w:r>
    </w:p>
    <w:p w14:paraId="7F3D828E">
      <w:pPr>
        <w:spacing w:line="500" w:lineRule="exact"/>
        <w:ind w:firstLine="560" w:firstLineChars="200"/>
        <w:rPr>
          <w:rFonts w:hint="default" w:ascii="仿宋_GB2312" w:hAnsi="Times New Roman" w:eastAsia="仿宋_GB2312" w:cs="Times New Roman"/>
          <w:color w:val="auto"/>
          <w:sz w:val="28"/>
          <w:szCs w:val="28"/>
          <w:lang w:val="en-US" w:eastAsia="zh-CN"/>
        </w:rPr>
      </w:pPr>
      <w:bookmarkStart w:id="56" w:name="_Toc288167634_WPSOffice_Level3"/>
      <w:bookmarkStart w:id="57" w:name="_Toc795001869_WPSOffice_Level3"/>
      <w:r>
        <w:rPr>
          <w:rFonts w:ascii="仿宋_GB2312" w:hAnsi="Times New Roman" w:eastAsia="仿宋_GB2312" w:cs="Times New Roman"/>
          <w:color w:val="auto"/>
          <w:sz w:val="28"/>
          <w:szCs w:val="28"/>
          <w:lang w:val="en-US" w:eastAsia="zh-CN"/>
        </w:rPr>
        <w:t>1.满足《中华人民共和国政府采购法》第二十二条规定；</w:t>
      </w:r>
      <w:bookmarkEnd w:id="56"/>
      <w:bookmarkEnd w:id="57"/>
    </w:p>
    <w:p w14:paraId="5636E370">
      <w:pPr>
        <w:spacing w:line="500" w:lineRule="exact"/>
        <w:ind w:firstLine="560" w:firstLineChars="200"/>
        <w:rPr>
          <w:rFonts w:hint="default" w:ascii="仿宋_GB2312" w:hAnsi="Times New Roman" w:eastAsia="仿宋_GB2312" w:cs="Times New Roman"/>
          <w:color w:val="auto"/>
          <w:sz w:val="28"/>
          <w:szCs w:val="28"/>
          <w:lang w:val="en-US" w:eastAsia="zh-CN"/>
        </w:rPr>
      </w:pPr>
      <w:bookmarkStart w:id="58" w:name="_Toc1004075335_WPSOffice_Level3"/>
      <w:bookmarkStart w:id="59" w:name="_Toc282163985_WPSOffice_Level3"/>
      <w:r>
        <w:rPr>
          <w:rFonts w:ascii="仿宋_GB2312" w:hAnsi="Times New Roman" w:eastAsia="仿宋_GB2312" w:cs="Times New Roman"/>
          <w:color w:val="auto"/>
          <w:sz w:val="28"/>
          <w:szCs w:val="28"/>
          <w:lang w:val="en-US" w:eastAsia="zh-CN"/>
        </w:rPr>
        <w:t>2.</w:t>
      </w:r>
      <w:bookmarkEnd w:id="58"/>
      <w:r>
        <w:rPr>
          <w:rFonts w:ascii="仿宋_GB2312" w:hAnsi="Times New Roman" w:eastAsia="仿宋_GB2312" w:cs="Times New Roman"/>
          <w:color w:val="auto"/>
          <w:sz w:val="28"/>
          <w:szCs w:val="28"/>
          <w:lang w:val="en-US" w:eastAsia="zh-CN"/>
        </w:rPr>
        <w:t>落实政府采购政策满足的资格要求：</w:t>
      </w:r>
      <w:bookmarkEnd w:id="59"/>
    </w:p>
    <w:p w14:paraId="00A38F7E">
      <w:pPr>
        <w:spacing w:line="500" w:lineRule="exact"/>
        <w:ind w:firstLine="560" w:firstLineChars="200"/>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无</w:t>
      </w:r>
    </w:p>
    <w:p w14:paraId="4E502BAA">
      <w:pPr>
        <w:spacing w:line="500" w:lineRule="exact"/>
        <w:ind w:firstLine="560" w:firstLineChars="200"/>
        <w:jc w:val="left"/>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3.本项目的特定资格要求：</w:t>
      </w:r>
      <w:bookmarkStart w:id="60" w:name="_Toc2045253496_WPSOffice_Level2"/>
      <w:bookmarkStart w:id="61" w:name="_Toc872248170_WPSOffice_Level2"/>
      <w:bookmarkStart w:id="62" w:name="_Toc1144697108_WPSOffice_Level2"/>
      <w:bookmarkStart w:id="63" w:name="_Toc295468326_WPSOffice_Level2"/>
    </w:p>
    <w:p w14:paraId="6AFBBEFC">
      <w:pPr>
        <w:spacing w:line="500" w:lineRule="exact"/>
        <w:ind w:firstLine="560" w:firstLineChars="200"/>
        <w:jc w:val="left"/>
        <w:rPr>
          <w:rFonts w:hint="default" w:ascii="仿宋_GB2312" w:hAnsi="Times New Roman" w:eastAsia="仿宋_GB2312" w:cs="Times New Roman"/>
          <w:color w:val="auto"/>
          <w:sz w:val="28"/>
          <w:szCs w:val="28"/>
          <w:lang w:val="en" w:eastAsia="zh-CN"/>
        </w:rPr>
      </w:pPr>
      <w:r>
        <w:rPr>
          <w:rFonts w:ascii="仿宋_GB2312" w:hAnsi="Times New Roman" w:eastAsia="仿宋_GB2312" w:cs="Times New Roman"/>
          <w:color w:val="auto"/>
          <w:sz w:val="28"/>
          <w:szCs w:val="28"/>
          <w:lang w:val="en-US" w:eastAsia="zh-CN"/>
        </w:rPr>
        <w:t>无</w:t>
      </w:r>
    </w:p>
    <w:p w14:paraId="0F146F4D">
      <w:pPr>
        <w:spacing w:line="500" w:lineRule="exact"/>
        <w:ind w:firstLine="560" w:firstLineChars="200"/>
        <w:jc w:val="left"/>
        <w:rPr>
          <w:rFonts w:hint="default" w:ascii="Times New Roman" w:hAnsi="Times New Roman" w:eastAsia="方正小标宋_GBK" w:cs="Times New Roman"/>
          <w:color w:val="auto"/>
          <w:sz w:val="28"/>
          <w:szCs w:val="28"/>
          <w:lang w:val="en-US" w:eastAsia="zh-CN"/>
        </w:rPr>
      </w:pPr>
      <w:r>
        <w:rPr>
          <w:rFonts w:hint="default" w:ascii="Times New Roman" w:hAnsi="Times New Roman" w:eastAsia="方正小标宋_GBK" w:cs="Times New Roman"/>
          <w:color w:val="auto"/>
          <w:sz w:val="28"/>
          <w:szCs w:val="28"/>
          <w:lang w:val="en-US" w:eastAsia="zh-CN"/>
        </w:rPr>
        <w:t>三、获取招标文件</w:t>
      </w:r>
      <w:bookmarkEnd w:id="60"/>
      <w:bookmarkEnd w:id="61"/>
      <w:bookmarkEnd w:id="62"/>
      <w:bookmarkEnd w:id="63"/>
    </w:p>
    <w:p w14:paraId="50EB8D7D">
      <w:pPr>
        <w:spacing w:line="500" w:lineRule="exact"/>
        <w:ind w:firstLine="560" w:firstLineChars="200"/>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1.时间：</w:t>
      </w:r>
      <w:r>
        <w:rPr>
          <w:rFonts w:ascii="仿宋_GB2312" w:hAnsi="Times New Roman" w:eastAsia="仿宋_GB2312" w:cs="Times New Roman"/>
          <w:color w:val="auto"/>
          <w:sz w:val="28"/>
          <w:szCs w:val="28"/>
          <w:lang w:val="en" w:eastAsia="zh-CN"/>
        </w:rPr>
        <w:t>2024年</w:t>
      </w:r>
      <w:r>
        <w:rPr>
          <w:rFonts w:hint="default" w:ascii="仿宋_GB2312" w:hAnsi="Times New Roman" w:eastAsia="仿宋_GB2312" w:cs="Times New Roman"/>
          <w:color w:val="auto"/>
          <w:sz w:val="28"/>
          <w:szCs w:val="28"/>
          <w:lang w:val="en" w:eastAsia="zh-CN"/>
        </w:rPr>
        <w:t>1</w:t>
      </w:r>
      <w:r>
        <w:rPr>
          <w:rFonts w:ascii="仿宋_GB2312" w:hAnsi="Times New Roman" w:eastAsia="仿宋_GB2312" w:cs="Times New Roman"/>
          <w:color w:val="auto"/>
          <w:sz w:val="28"/>
          <w:szCs w:val="28"/>
          <w:lang w:val="en-US" w:eastAsia="zh-CN"/>
        </w:rPr>
        <w:t>2</w:t>
      </w:r>
      <w:r>
        <w:rPr>
          <w:rFonts w:hint="default" w:ascii="仿宋_GB2312" w:hAnsi="Times New Roman" w:eastAsia="仿宋_GB2312" w:cs="Times New Roman"/>
          <w:color w:val="auto"/>
          <w:sz w:val="28"/>
          <w:szCs w:val="28"/>
          <w:lang w:val="en" w:eastAsia="zh-CN"/>
        </w:rPr>
        <w:t>月</w:t>
      </w:r>
      <w:r>
        <w:rPr>
          <w:rFonts w:hint="eastAsia" w:ascii="仿宋_GB2312" w:hAnsi="Times New Roman" w:eastAsia="仿宋_GB2312" w:cs="Times New Roman"/>
          <w:color w:val="auto"/>
          <w:sz w:val="28"/>
          <w:szCs w:val="28"/>
          <w:lang w:val="en-US" w:eastAsia="zh-CN"/>
        </w:rPr>
        <w:t>4</w:t>
      </w:r>
      <w:r>
        <w:rPr>
          <w:rFonts w:ascii="仿宋_GB2312" w:hAnsi="Times New Roman" w:eastAsia="仿宋_GB2312" w:cs="Times New Roman"/>
          <w:color w:val="auto"/>
          <w:sz w:val="28"/>
          <w:szCs w:val="28"/>
          <w:lang w:val="en-US" w:eastAsia="zh-CN"/>
        </w:rPr>
        <w:t>日至202</w:t>
      </w:r>
      <w:r>
        <w:rPr>
          <w:rFonts w:ascii="仿宋_GB2312" w:hAnsi="Times New Roman" w:eastAsia="仿宋_GB2312" w:cs="Times New Roman"/>
          <w:color w:val="auto"/>
          <w:sz w:val="28"/>
          <w:szCs w:val="28"/>
          <w:lang w:val="en" w:eastAsia="zh-CN"/>
        </w:rPr>
        <w:t>4</w:t>
      </w:r>
      <w:r>
        <w:rPr>
          <w:rFonts w:ascii="仿宋_GB2312" w:hAnsi="Times New Roman" w:eastAsia="仿宋_GB2312" w:cs="Times New Roman"/>
          <w:color w:val="auto"/>
          <w:sz w:val="28"/>
          <w:szCs w:val="28"/>
          <w:lang w:val="en-US" w:eastAsia="zh-CN"/>
        </w:rPr>
        <w:t>年</w:t>
      </w:r>
      <w:r>
        <w:rPr>
          <w:rFonts w:hint="default" w:ascii="仿宋_GB2312" w:hAnsi="Times New Roman" w:eastAsia="仿宋_GB2312" w:cs="Times New Roman"/>
          <w:color w:val="auto"/>
          <w:sz w:val="28"/>
          <w:szCs w:val="28"/>
          <w:lang w:val="en" w:eastAsia="zh-CN"/>
        </w:rPr>
        <w:t>1</w:t>
      </w:r>
      <w:r>
        <w:rPr>
          <w:rFonts w:ascii="仿宋_GB2312" w:hAnsi="Times New Roman" w:eastAsia="仿宋_GB2312" w:cs="Times New Roman"/>
          <w:color w:val="auto"/>
          <w:sz w:val="28"/>
          <w:szCs w:val="28"/>
          <w:lang w:val="en-US" w:eastAsia="zh-CN"/>
        </w:rPr>
        <w:t>2</w:t>
      </w:r>
      <w:r>
        <w:rPr>
          <w:rFonts w:hint="default" w:ascii="仿宋_GB2312" w:hAnsi="Times New Roman" w:eastAsia="仿宋_GB2312" w:cs="Times New Roman"/>
          <w:color w:val="auto"/>
          <w:sz w:val="28"/>
          <w:szCs w:val="28"/>
          <w:lang w:val="en" w:eastAsia="zh-CN"/>
        </w:rPr>
        <w:t>月</w:t>
      </w:r>
      <w:r>
        <w:rPr>
          <w:rFonts w:hint="eastAsia" w:ascii="仿宋_GB2312" w:hAnsi="Times New Roman" w:eastAsia="仿宋_GB2312" w:cs="Times New Roman"/>
          <w:color w:val="auto"/>
          <w:sz w:val="28"/>
          <w:szCs w:val="28"/>
          <w:lang w:val="en-US" w:eastAsia="zh-CN"/>
        </w:rPr>
        <w:t>11</w:t>
      </w:r>
      <w:r>
        <w:rPr>
          <w:rFonts w:ascii="仿宋_GB2312" w:hAnsi="Times New Roman" w:eastAsia="仿宋_GB2312" w:cs="Times New Roman"/>
          <w:color w:val="auto"/>
          <w:sz w:val="28"/>
          <w:szCs w:val="28"/>
          <w:lang w:val="en-US" w:eastAsia="zh-CN"/>
        </w:rPr>
        <w:t xml:space="preserve">日，每天上午00:00至12:00，下午12:00至23:59（北京时间，法定节假日除外。） </w:t>
      </w:r>
    </w:p>
    <w:p w14:paraId="5A7FF02E">
      <w:pPr>
        <w:spacing w:line="500" w:lineRule="exact"/>
        <w:ind w:firstLine="560" w:firstLineChars="200"/>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2.地点：河南省公共资源交易中心网站（</w:t>
      </w:r>
      <w:r>
        <w:rPr>
          <w:rFonts w:hint="default" w:ascii="仿宋_GB2312" w:hAnsi="Times New Roman" w:eastAsia="仿宋_GB2312" w:cs="Times New Roman"/>
          <w:color w:val="auto"/>
          <w:sz w:val="28"/>
          <w:szCs w:val="28"/>
          <w:lang w:val="en-US" w:eastAsia="zh-CN"/>
        </w:rPr>
        <w:t>hnsggzyjy.henan.gov.cn</w:t>
      </w:r>
      <w:r>
        <w:rPr>
          <w:rFonts w:ascii="仿宋_GB2312" w:hAnsi="Times New Roman" w:eastAsia="仿宋_GB2312" w:cs="Times New Roman"/>
          <w:color w:val="auto"/>
          <w:sz w:val="28"/>
          <w:szCs w:val="28"/>
          <w:lang w:val="en-US" w:eastAsia="zh-CN"/>
        </w:rPr>
        <w:t>）</w:t>
      </w:r>
    </w:p>
    <w:p w14:paraId="45595C46">
      <w:pPr>
        <w:spacing w:line="500" w:lineRule="exact"/>
        <w:ind w:firstLine="560" w:firstLineChars="200"/>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3.方式：投标人</w:t>
      </w:r>
      <w:r>
        <w:rPr>
          <w:rFonts w:ascii="仿宋_GB2312" w:hAnsi="Times New Roman" w:eastAsia="仿宋_GB2312" w:cs="Times New Roman"/>
          <w:color w:val="auto"/>
          <w:sz w:val="28"/>
          <w:szCs w:val="28"/>
          <w:lang w:eastAsia="zh-CN"/>
        </w:rPr>
        <w:t>使用</w:t>
      </w:r>
      <w:r>
        <w:rPr>
          <w:rFonts w:ascii="仿宋_GB2312" w:hAnsi="Times New Roman" w:eastAsia="仿宋_GB2312" w:cs="Times New Roman"/>
          <w:color w:val="auto"/>
          <w:sz w:val="28"/>
          <w:szCs w:val="28"/>
          <w:lang w:val="en-US" w:eastAsia="zh-CN"/>
        </w:rPr>
        <w:t>CA</w:t>
      </w:r>
      <w:r>
        <w:rPr>
          <w:rFonts w:ascii="仿宋_GB2312" w:hAnsi="Times New Roman" w:eastAsia="仿宋_GB2312" w:cs="Times New Roman"/>
          <w:color w:val="auto"/>
          <w:sz w:val="28"/>
          <w:szCs w:val="28"/>
          <w:lang w:eastAsia="zh-CN"/>
        </w:rPr>
        <w:t>数字证书登录</w:t>
      </w:r>
      <w:r>
        <w:rPr>
          <w:rFonts w:ascii="仿宋_GB2312" w:hAnsi="Times New Roman" w:eastAsia="仿宋_GB2312" w:cs="Times New Roman"/>
          <w:color w:val="auto"/>
          <w:sz w:val="28"/>
          <w:szCs w:val="28"/>
          <w:lang w:val="en-US" w:eastAsia="zh-CN"/>
        </w:rPr>
        <w:t>“</w:t>
      </w:r>
      <w:r>
        <w:rPr>
          <w:rFonts w:ascii="仿宋_GB2312" w:hAnsi="Times New Roman" w:eastAsia="仿宋_GB2312" w:cs="Times New Roman"/>
          <w:color w:val="auto"/>
          <w:sz w:val="28"/>
          <w:szCs w:val="28"/>
          <w:lang w:eastAsia="zh-CN"/>
        </w:rPr>
        <w:t>河南省公共资源交易中心</w:t>
      </w:r>
      <w:r>
        <w:rPr>
          <w:rFonts w:ascii="仿宋_GB2312" w:hAnsi="Times New Roman" w:eastAsia="仿宋_GB2312" w:cs="Times New Roman"/>
          <w:color w:val="auto"/>
          <w:sz w:val="28"/>
          <w:szCs w:val="28"/>
          <w:lang w:val="en-US" w:eastAsia="zh-CN"/>
        </w:rPr>
        <w:t>网站（</w:t>
      </w:r>
      <w:r>
        <w:rPr>
          <w:rFonts w:hint="default" w:ascii="仿宋_GB2312" w:hAnsi="Times New Roman" w:eastAsia="仿宋_GB2312" w:cs="Times New Roman"/>
          <w:color w:val="auto"/>
          <w:sz w:val="28"/>
          <w:szCs w:val="28"/>
          <w:lang w:val="en-US" w:eastAsia="zh-CN"/>
        </w:rPr>
        <w:t>hnsggzyjy.henan.gov.cn</w:t>
      </w:r>
      <w:r>
        <w:rPr>
          <w:rFonts w:ascii="仿宋_GB2312" w:hAnsi="Times New Roman" w:eastAsia="仿宋_GB2312" w:cs="Times New Roman"/>
          <w:color w:val="auto"/>
          <w:sz w:val="28"/>
          <w:szCs w:val="28"/>
          <w:lang w:val="en-US" w:eastAsia="zh-CN"/>
        </w:rPr>
        <w:t>）”，</w:t>
      </w:r>
      <w:r>
        <w:rPr>
          <w:rFonts w:ascii="仿宋_GB2312" w:hAnsi="Times New Roman" w:eastAsia="仿宋_GB2312" w:cs="Times New Roman"/>
          <w:color w:val="auto"/>
          <w:sz w:val="28"/>
          <w:szCs w:val="28"/>
          <w:lang w:eastAsia="zh-CN"/>
        </w:rPr>
        <w:t>并按网上提示下载投标项目所含格式</w:t>
      </w:r>
      <w:r>
        <w:rPr>
          <w:rFonts w:ascii="仿宋_GB2312" w:hAnsi="Times New Roman" w:eastAsia="仿宋_GB2312" w:cs="Times New Roman"/>
          <w:color w:val="auto"/>
          <w:sz w:val="28"/>
          <w:szCs w:val="28"/>
          <w:lang w:val="en-US" w:eastAsia="zh-CN"/>
        </w:rPr>
        <w:t>(.hnzf)</w:t>
      </w:r>
      <w:r>
        <w:rPr>
          <w:rFonts w:ascii="仿宋_GB2312" w:hAnsi="Times New Roman" w:eastAsia="仿宋_GB2312" w:cs="Times New Roman"/>
          <w:color w:val="auto"/>
          <w:sz w:val="28"/>
          <w:szCs w:val="28"/>
          <w:lang w:eastAsia="zh-CN"/>
        </w:rPr>
        <w:t>的招标文件及资料。注册、登录、下载等</w:t>
      </w:r>
      <w:r>
        <w:rPr>
          <w:rFonts w:ascii="仿宋_GB2312" w:hAnsi="Times New Roman" w:eastAsia="仿宋_GB2312" w:cs="Times New Roman"/>
          <w:color w:val="auto"/>
          <w:sz w:val="28"/>
          <w:szCs w:val="28"/>
          <w:lang w:val="en-US" w:eastAsia="zh-CN"/>
        </w:rPr>
        <w:t>具体事宜请查阅河南省公共资源交易中心网站“公共服务”→“办事指南”。</w:t>
      </w:r>
    </w:p>
    <w:p w14:paraId="2E99B8AD">
      <w:pPr>
        <w:spacing w:line="500" w:lineRule="exact"/>
        <w:ind w:firstLine="560" w:firstLineChars="200"/>
        <w:jc w:val="left"/>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 xml:space="preserve">4.售价：0元 </w:t>
      </w:r>
    </w:p>
    <w:p w14:paraId="63C8DDB9">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bookmarkStart w:id="64" w:name="_Toc994305580_WPSOffice_Level2"/>
      <w:bookmarkStart w:id="65" w:name="_Toc2091398558_WPSOffice_Level2"/>
      <w:bookmarkStart w:id="66" w:name="_Toc1432496505_WPSOffice_Level2"/>
      <w:bookmarkStart w:id="67" w:name="_Toc1361166934_WPSOffice_Level2"/>
      <w:r>
        <w:rPr>
          <w:rFonts w:hint="default" w:ascii="Times New Roman" w:hAnsi="Times New Roman" w:eastAsia="方正小标宋_GBK" w:cs="Times New Roman"/>
          <w:color w:val="auto"/>
          <w:sz w:val="28"/>
          <w:szCs w:val="28"/>
          <w:lang w:val="en-US" w:eastAsia="zh-CN"/>
        </w:rPr>
        <w:t>四、投标截止时间及地点</w:t>
      </w:r>
      <w:bookmarkEnd w:id="64"/>
      <w:bookmarkEnd w:id="65"/>
      <w:bookmarkEnd w:id="66"/>
      <w:bookmarkEnd w:id="67"/>
    </w:p>
    <w:p w14:paraId="2C199F51">
      <w:pPr>
        <w:spacing w:line="500" w:lineRule="exact"/>
        <w:ind w:firstLine="560" w:firstLineChars="200"/>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1.时间：2024年12</w:t>
      </w:r>
      <w:r>
        <w:rPr>
          <w:rFonts w:ascii="仿宋_GB2312" w:hAnsi="Times New Roman" w:eastAsia="仿宋_GB2312" w:cs="Times New Roman"/>
          <w:color w:val="auto"/>
          <w:sz w:val="28"/>
          <w:szCs w:val="28"/>
          <w:lang w:val="en" w:eastAsia="zh-CN"/>
        </w:rPr>
        <w:t>月</w:t>
      </w:r>
      <w:r>
        <w:rPr>
          <w:rFonts w:hint="eastAsia" w:ascii="仿宋_GB2312" w:hAnsi="Times New Roman" w:eastAsia="仿宋_GB2312" w:cs="Times New Roman"/>
          <w:color w:val="auto"/>
          <w:sz w:val="28"/>
          <w:szCs w:val="28"/>
          <w:lang w:val="en-US" w:eastAsia="zh-CN"/>
        </w:rPr>
        <w:t>25</w:t>
      </w:r>
      <w:r>
        <w:rPr>
          <w:rFonts w:ascii="仿宋_GB2312" w:hAnsi="Times New Roman" w:eastAsia="仿宋_GB2312" w:cs="Times New Roman"/>
          <w:color w:val="auto"/>
          <w:sz w:val="28"/>
          <w:szCs w:val="28"/>
          <w:lang w:val="en-US" w:eastAsia="zh-CN"/>
        </w:rPr>
        <w:t>日09时00分（北京时间）</w:t>
      </w:r>
    </w:p>
    <w:p w14:paraId="4FE7223B">
      <w:pPr>
        <w:spacing w:line="500" w:lineRule="exact"/>
        <w:ind w:firstLine="560" w:firstLineChars="200"/>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2.地点：</w:t>
      </w:r>
      <w:r>
        <w:rPr>
          <w:rFonts w:ascii="仿宋_GB2312" w:hAnsi="Times New Roman" w:eastAsia="仿宋_GB2312" w:cs="Times New Roman"/>
          <w:color w:val="auto"/>
          <w:sz w:val="28"/>
          <w:szCs w:val="28"/>
          <w:lang w:eastAsia="zh-CN"/>
        </w:rPr>
        <w:t>河南省公共资源交易中心</w:t>
      </w:r>
      <w:r>
        <w:rPr>
          <w:rFonts w:ascii="仿宋_GB2312" w:hAnsi="Times New Roman" w:eastAsia="仿宋_GB2312" w:cs="Times New Roman"/>
          <w:color w:val="auto"/>
          <w:sz w:val="28"/>
          <w:szCs w:val="28"/>
          <w:lang w:val="en-US" w:eastAsia="zh-CN"/>
        </w:rPr>
        <w:t>网站（</w:t>
      </w:r>
      <w:r>
        <w:rPr>
          <w:rFonts w:hint="default" w:ascii="仿宋_GB2312" w:hAnsi="Times New Roman" w:eastAsia="仿宋_GB2312" w:cs="Times New Roman"/>
          <w:color w:val="auto"/>
          <w:sz w:val="28"/>
          <w:szCs w:val="28"/>
          <w:lang w:val="en-US" w:eastAsia="zh-CN"/>
        </w:rPr>
        <w:t>hnsggzyjy.henan.gov.cn</w:t>
      </w:r>
      <w:r>
        <w:rPr>
          <w:rFonts w:ascii="仿宋_GB2312" w:hAnsi="Times New Roman" w:eastAsia="仿宋_GB2312" w:cs="Times New Roman"/>
          <w:color w:val="auto"/>
          <w:sz w:val="28"/>
          <w:szCs w:val="28"/>
          <w:lang w:val="en-US" w:eastAsia="zh-CN"/>
        </w:rPr>
        <w:t>）。</w:t>
      </w:r>
    </w:p>
    <w:p w14:paraId="4234816C">
      <w:pPr>
        <w:spacing w:line="50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68" w:name="_Toc29068487_WPSOffice_Level2"/>
      <w:bookmarkStart w:id="69" w:name="_Toc843072336_WPSOffice_Level2"/>
      <w:bookmarkStart w:id="70" w:name="_Toc2015382973_WPSOffice_Level2"/>
      <w:bookmarkStart w:id="71" w:name="_Toc1501260250_WPSOffice_Level2"/>
      <w:r>
        <w:rPr>
          <w:rFonts w:hint="default" w:ascii="Times New Roman" w:hAnsi="Times New Roman" w:eastAsia="方正小标宋_GBK" w:cs="Times New Roman"/>
          <w:color w:val="auto"/>
          <w:sz w:val="28"/>
          <w:szCs w:val="28"/>
          <w:lang w:val="en-US" w:eastAsia="zh-CN"/>
        </w:rPr>
        <w:t>五、开标时间及地点</w:t>
      </w:r>
      <w:bookmarkEnd w:id="68"/>
      <w:bookmarkEnd w:id="69"/>
      <w:bookmarkEnd w:id="70"/>
      <w:bookmarkEnd w:id="71"/>
    </w:p>
    <w:p w14:paraId="686AA41C">
      <w:pPr>
        <w:spacing w:line="500" w:lineRule="exact"/>
        <w:ind w:firstLine="560" w:firstLineChars="200"/>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1.时间：2024年1</w:t>
      </w:r>
      <w:r>
        <w:rPr>
          <w:rFonts w:hint="eastAsia" w:ascii="仿宋_GB2312" w:hAnsi="Times New Roman" w:eastAsia="仿宋_GB2312" w:cs="Times New Roman"/>
          <w:color w:val="auto"/>
          <w:sz w:val="28"/>
          <w:szCs w:val="28"/>
          <w:lang w:val="en-US" w:eastAsia="zh-CN"/>
        </w:rPr>
        <w:t>2</w:t>
      </w:r>
      <w:r>
        <w:rPr>
          <w:rFonts w:ascii="仿宋_GB2312" w:hAnsi="Times New Roman" w:eastAsia="仿宋_GB2312" w:cs="Times New Roman"/>
          <w:color w:val="auto"/>
          <w:sz w:val="28"/>
          <w:szCs w:val="28"/>
          <w:lang w:val="en" w:eastAsia="zh-CN"/>
        </w:rPr>
        <w:t>月</w:t>
      </w:r>
      <w:r>
        <w:rPr>
          <w:rFonts w:hint="eastAsia" w:ascii="仿宋_GB2312" w:hAnsi="Times New Roman" w:eastAsia="仿宋_GB2312" w:cs="Times New Roman"/>
          <w:color w:val="auto"/>
          <w:sz w:val="28"/>
          <w:szCs w:val="28"/>
          <w:lang w:val="en-US" w:eastAsia="zh-CN"/>
        </w:rPr>
        <w:t>25</w:t>
      </w:r>
      <w:r>
        <w:rPr>
          <w:rFonts w:ascii="仿宋_GB2312" w:hAnsi="Times New Roman" w:eastAsia="仿宋_GB2312" w:cs="Times New Roman"/>
          <w:color w:val="auto"/>
          <w:sz w:val="28"/>
          <w:szCs w:val="28"/>
          <w:lang w:val="en-US" w:eastAsia="zh-CN"/>
        </w:rPr>
        <w:t>日09时00分（北京时间）</w:t>
      </w:r>
    </w:p>
    <w:p w14:paraId="0FE467FC">
      <w:pPr>
        <w:spacing w:line="500" w:lineRule="exact"/>
        <w:ind w:firstLine="560" w:firstLineChars="200"/>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2.地点：</w:t>
      </w:r>
      <w:bookmarkStart w:id="72" w:name="_Toc74330375_WPSOffice_Level2"/>
      <w:bookmarkStart w:id="73" w:name="_Toc847108981_WPSOffice_Level2"/>
      <w:bookmarkStart w:id="74" w:name="_Toc1101443234_WPSOffice_Level2"/>
      <w:r>
        <w:rPr>
          <w:rFonts w:ascii="仿宋_GB2312" w:hAnsi="Times New Roman" w:eastAsia="仿宋_GB2312" w:cs="Times New Roman"/>
          <w:color w:val="auto"/>
          <w:sz w:val="28"/>
          <w:szCs w:val="28"/>
          <w:lang w:val="en-US" w:eastAsia="zh-CN"/>
        </w:rPr>
        <w:t>河南省公共资源交易中心开标室；“河南省公共资源交易中心”网站（</w:t>
      </w:r>
      <w:r>
        <w:rPr>
          <w:rFonts w:hint="default" w:ascii="仿宋_GB2312" w:hAnsi="Times New Roman" w:eastAsia="仿宋_GB2312" w:cs="Times New Roman"/>
          <w:color w:val="auto"/>
          <w:sz w:val="28"/>
          <w:szCs w:val="28"/>
          <w:lang w:val="en-US" w:eastAsia="zh-CN"/>
        </w:rPr>
        <w:t>hnsggzyjy.henan.gov.cn</w:t>
      </w:r>
      <w:r>
        <w:rPr>
          <w:rFonts w:ascii="仿宋_GB2312" w:hAnsi="Times New Roman" w:eastAsia="仿宋_GB2312" w:cs="Times New Roman"/>
          <w:color w:val="auto"/>
          <w:sz w:val="28"/>
          <w:szCs w:val="28"/>
          <w:lang w:val="en-US" w:eastAsia="zh-CN"/>
        </w:rPr>
        <w:t>）——不见面开标大厅。</w:t>
      </w:r>
    </w:p>
    <w:p w14:paraId="63155488">
      <w:pPr>
        <w:spacing w:line="50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75" w:name="_Toc1299643612_WPSOffice_Level2"/>
      <w:r>
        <w:rPr>
          <w:rFonts w:hint="default" w:ascii="Times New Roman" w:hAnsi="Times New Roman" w:eastAsia="方正小标宋_GBK" w:cs="Times New Roman"/>
          <w:color w:val="auto"/>
          <w:sz w:val="28"/>
          <w:szCs w:val="28"/>
          <w:lang w:val="en-US" w:eastAsia="zh-CN"/>
        </w:rPr>
        <w:t>六、发布公告的媒介及招标公告期限</w:t>
      </w:r>
      <w:bookmarkEnd w:id="72"/>
      <w:bookmarkEnd w:id="73"/>
      <w:bookmarkEnd w:id="74"/>
      <w:bookmarkEnd w:id="75"/>
    </w:p>
    <w:p w14:paraId="40BD0013">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本次招标公告在《河南省政府采购网》《河南省公共资源交易中心网》上发布，招标公告期限为五个工作日。</w:t>
      </w:r>
    </w:p>
    <w:p w14:paraId="79F50FE0">
      <w:pPr>
        <w:spacing w:line="50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76" w:name="_Toc1849985481_WPSOffice_Level2"/>
      <w:bookmarkStart w:id="77" w:name="_Toc271688487_WPSOffice_Level2"/>
      <w:bookmarkStart w:id="78" w:name="_Toc934758795_WPSOffice_Level2"/>
      <w:bookmarkStart w:id="79" w:name="_Toc1765891161_WPSOffice_Level2"/>
      <w:r>
        <w:rPr>
          <w:rFonts w:hint="default" w:ascii="Times New Roman" w:hAnsi="Times New Roman" w:eastAsia="方正小标宋_GBK" w:cs="Times New Roman"/>
          <w:color w:val="auto"/>
          <w:sz w:val="28"/>
          <w:szCs w:val="28"/>
          <w:lang w:val="en-US" w:eastAsia="zh-CN"/>
        </w:rPr>
        <w:t>七、其他补充事宜</w:t>
      </w:r>
      <w:bookmarkEnd w:id="76"/>
      <w:bookmarkEnd w:id="77"/>
      <w:bookmarkEnd w:id="78"/>
      <w:bookmarkEnd w:id="79"/>
    </w:p>
    <w:p w14:paraId="22C0C5FC">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bookmarkStart w:id="80" w:name="_Toc104417590_WPSOffice_Level2"/>
      <w:bookmarkStart w:id="81" w:name="_Toc1844119755_WPSOffice_Level2"/>
      <w:bookmarkStart w:id="82" w:name="_Toc1528591159_WPSOffice_Level2"/>
      <w:bookmarkStart w:id="83" w:name="_Toc1643921422_WPSOffice_Level2"/>
      <w:r>
        <w:rPr>
          <w:rFonts w:hint="default" w:ascii="Times New Roman" w:hAnsi="Times New Roman" w:eastAsia="仿宋_GB2312" w:cs="Times New Roman"/>
          <w:color w:val="auto"/>
          <w:sz w:val="28"/>
          <w:szCs w:val="28"/>
          <w:lang w:val="en-US" w:eastAsia="zh-CN"/>
        </w:rPr>
        <w:t>本项目落实的政府采购政策：</w:t>
      </w:r>
    </w:p>
    <w:p w14:paraId="52CE3332">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（1）促进中小企业发展，支持监狱企业发展，促进残疾人就业；</w:t>
      </w:r>
    </w:p>
    <w:p w14:paraId="2AA3EE25">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w:t>
      </w:r>
      <w:r>
        <w:rPr>
          <w:rFonts w:ascii="Times New Roman" w:hAnsi="Times New Roman" w:eastAsia="仿宋_GB2312" w:cs="Times New Roman"/>
          <w:color w:val="auto"/>
          <w:sz w:val="28"/>
          <w:szCs w:val="28"/>
          <w:lang w:val="en-US" w:eastAsia="zh-CN"/>
        </w:rPr>
        <w:t>依据品目清单对节能产品实施强制采购或优先采购；</w:t>
      </w:r>
    </w:p>
    <w:p w14:paraId="5509C14C">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环境标志产品优先采购；</w:t>
      </w:r>
    </w:p>
    <w:p w14:paraId="326F2F3F">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w:t>
      </w:r>
      <w:r>
        <w:rPr>
          <w:rFonts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val="en-US" w:eastAsia="zh-CN"/>
        </w:rPr>
        <w:t>）推广使用绿色包装。</w:t>
      </w:r>
    </w:p>
    <w:p w14:paraId="44CD26A2">
      <w:pPr>
        <w:spacing w:line="500" w:lineRule="exact"/>
        <w:ind w:firstLine="560" w:firstLineChars="200"/>
        <w:jc w:val="left"/>
        <w:rPr>
          <w:rFonts w:hint="default" w:ascii="Times New Roman" w:hAnsi="Times New Roman" w:eastAsia="方正小标宋_GBK" w:cs="Times New Roman"/>
          <w:color w:val="auto"/>
          <w:sz w:val="28"/>
          <w:szCs w:val="28"/>
          <w:lang w:val="en-US" w:eastAsia="zh-CN"/>
        </w:rPr>
      </w:pPr>
      <w:r>
        <w:rPr>
          <w:rFonts w:hint="default" w:ascii="Times New Roman" w:hAnsi="Times New Roman" w:eastAsia="方正小标宋_GBK" w:cs="Times New Roman"/>
          <w:color w:val="auto"/>
          <w:sz w:val="28"/>
          <w:szCs w:val="28"/>
          <w:lang w:val="en-US" w:eastAsia="zh-CN"/>
        </w:rPr>
        <w:t>八、凡对本次招标提出询问，请按照以下方式联系</w:t>
      </w:r>
      <w:bookmarkEnd w:id="80"/>
      <w:bookmarkEnd w:id="81"/>
      <w:bookmarkEnd w:id="82"/>
      <w:bookmarkEnd w:id="83"/>
    </w:p>
    <w:p w14:paraId="4787E8E8">
      <w:pPr>
        <w:spacing w:line="500" w:lineRule="exact"/>
        <w:ind w:firstLine="560" w:firstLineChars="200"/>
        <w:rPr>
          <w:rFonts w:hint="default" w:ascii="仿宋_GB2312" w:hAnsi="Times New Roman" w:eastAsia="仿宋_GB2312" w:cs="Times New Roman"/>
          <w:color w:val="auto"/>
          <w:sz w:val="28"/>
          <w:szCs w:val="28"/>
          <w:lang w:val="en-US" w:eastAsia="zh-CN"/>
        </w:rPr>
      </w:pPr>
      <w:bookmarkStart w:id="84" w:name="_Toc1644240802_WPSOffice_Level3"/>
      <w:bookmarkStart w:id="85" w:name="_Toc116085146_WPSOffice_Level3"/>
      <w:r>
        <w:rPr>
          <w:rFonts w:ascii="仿宋_GB2312" w:hAnsi="Times New Roman" w:eastAsia="仿宋_GB2312" w:cs="Times New Roman"/>
          <w:color w:val="auto"/>
          <w:sz w:val="28"/>
          <w:szCs w:val="28"/>
          <w:lang w:val="en-US" w:eastAsia="zh-CN"/>
        </w:rPr>
        <w:t>1.采购人信息</w:t>
      </w:r>
      <w:bookmarkEnd w:id="84"/>
      <w:bookmarkEnd w:id="85"/>
    </w:p>
    <w:p w14:paraId="57652404">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bookmarkStart w:id="86" w:name="_Toc465930042_WPSOffice_Level3"/>
      <w:bookmarkStart w:id="87" w:name="_Toc1196430650_WPSOffice_Level3"/>
      <w:r>
        <w:rPr>
          <w:rFonts w:hint="default" w:ascii="Times New Roman" w:hAnsi="Times New Roman" w:eastAsia="仿宋_GB2312" w:cs="Times New Roman"/>
          <w:color w:val="auto"/>
          <w:sz w:val="28"/>
          <w:szCs w:val="28"/>
          <w:lang w:val="en-US" w:eastAsia="zh-CN"/>
        </w:rPr>
        <w:t>名称：</w:t>
      </w:r>
      <w:r>
        <w:rPr>
          <w:rFonts w:ascii="Times New Roman" w:hAnsi="Times New Roman" w:eastAsia="仿宋_GB2312" w:cs="Times New Roman"/>
          <w:color w:val="auto"/>
          <w:sz w:val="28"/>
          <w:szCs w:val="28"/>
          <w:lang w:val="en-US" w:eastAsia="zh-CN"/>
        </w:rPr>
        <w:t>新乡医学院第一附属医院</w:t>
      </w:r>
    </w:p>
    <w:p w14:paraId="5CF4D631">
      <w:pPr>
        <w:spacing w:line="500" w:lineRule="exact"/>
        <w:ind w:firstLine="560" w:firstLineChars="200"/>
        <w:rPr>
          <w:rFonts w:hint="default" w:ascii="仿宋_GB2312" w:hAnsi="Times New Roman" w:eastAsia="仿宋_GB2312" w:cs="Times New Roman"/>
          <w:color w:val="auto"/>
          <w:sz w:val="28"/>
          <w:szCs w:val="28"/>
          <w:lang w:val="en-US" w:eastAsia="zh-CN"/>
        </w:rPr>
      </w:pPr>
      <w:r>
        <w:rPr>
          <w:rFonts w:hint="default" w:ascii="仿宋_GB2312" w:hAnsi="Times New Roman" w:eastAsia="仿宋_GB2312" w:cs="Times New Roman"/>
          <w:color w:val="auto"/>
          <w:sz w:val="28"/>
          <w:szCs w:val="28"/>
          <w:lang w:val="en-US" w:eastAsia="zh-CN"/>
        </w:rPr>
        <w:t>地址</w:t>
      </w:r>
      <w:r>
        <w:rPr>
          <w:rFonts w:ascii="仿宋_GB2312" w:hAnsi="Times New Roman" w:eastAsia="仿宋_GB2312" w:cs="Times New Roman"/>
          <w:color w:val="auto"/>
          <w:sz w:val="28"/>
          <w:szCs w:val="28"/>
          <w:lang w:val="en-US" w:eastAsia="zh-CN"/>
        </w:rPr>
        <w:t>：卫辉市健康路88号</w:t>
      </w:r>
    </w:p>
    <w:p w14:paraId="53E013B2">
      <w:pPr>
        <w:spacing w:line="500" w:lineRule="exact"/>
        <w:ind w:firstLine="560" w:firstLineChars="200"/>
        <w:rPr>
          <w:rFonts w:hint="default" w:ascii="仿宋_GB2312" w:hAnsi="Times New Roman" w:eastAsia="仿宋_GB2312" w:cs="Times New Roman"/>
          <w:color w:val="auto"/>
          <w:sz w:val="28"/>
          <w:szCs w:val="28"/>
          <w:lang w:val="en-US" w:eastAsia="zh-CN"/>
        </w:rPr>
      </w:pPr>
      <w:r>
        <w:rPr>
          <w:rFonts w:hint="default" w:ascii="仿宋_GB2312" w:hAnsi="Times New Roman" w:eastAsia="仿宋_GB2312" w:cs="Times New Roman"/>
          <w:color w:val="auto"/>
          <w:sz w:val="28"/>
          <w:szCs w:val="28"/>
          <w:lang w:val="en-US" w:eastAsia="zh-CN"/>
        </w:rPr>
        <w:t>联系人</w:t>
      </w:r>
      <w:r>
        <w:rPr>
          <w:rFonts w:ascii="仿宋_GB2312" w:hAnsi="Times New Roman" w:eastAsia="仿宋_GB2312" w:cs="Times New Roman"/>
          <w:color w:val="auto"/>
          <w:sz w:val="28"/>
          <w:szCs w:val="28"/>
          <w:lang w:val="en-US" w:eastAsia="zh-CN"/>
        </w:rPr>
        <w:t>：孙老师</w:t>
      </w:r>
    </w:p>
    <w:p w14:paraId="007E030B">
      <w:pPr>
        <w:spacing w:line="500" w:lineRule="exact"/>
        <w:ind w:firstLine="560" w:firstLineChars="200"/>
        <w:rPr>
          <w:rFonts w:hint="default" w:ascii="仿宋_GB2312" w:hAnsi="Times New Roman" w:eastAsia="仿宋_GB2312" w:cs="Times New Roman"/>
          <w:color w:val="auto"/>
          <w:sz w:val="28"/>
          <w:szCs w:val="28"/>
          <w:lang w:val="en-US" w:eastAsia="zh-CN"/>
        </w:rPr>
      </w:pPr>
      <w:r>
        <w:rPr>
          <w:rFonts w:hint="default" w:ascii="仿宋_GB2312" w:hAnsi="Times New Roman" w:eastAsia="仿宋_GB2312" w:cs="Times New Roman"/>
          <w:color w:val="auto"/>
          <w:sz w:val="28"/>
          <w:szCs w:val="28"/>
          <w:lang w:val="en-US" w:eastAsia="zh-CN"/>
        </w:rPr>
        <w:t>联系方式：</w:t>
      </w:r>
      <w:r>
        <w:rPr>
          <w:rFonts w:ascii="仿宋_GB2312" w:hAnsi="Times New Roman" w:eastAsia="仿宋_GB2312" w:cs="Times New Roman"/>
          <w:color w:val="auto"/>
          <w:sz w:val="28"/>
          <w:szCs w:val="28"/>
          <w:lang w:val="en-US" w:eastAsia="zh-CN"/>
        </w:rPr>
        <w:t>0373-4402905</w:t>
      </w:r>
    </w:p>
    <w:p w14:paraId="64D156F6">
      <w:pPr>
        <w:spacing w:line="500" w:lineRule="exact"/>
        <w:ind w:firstLine="560" w:firstLineChars="200"/>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2.集中采购机构信息（如有）</w:t>
      </w:r>
      <w:bookmarkEnd w:id="86"/>
      <w:bookmarkEnd w:id="87"/>
    </w:p>
    <w:p w14:paraId="5F009924">
      <w:pPr>
        <w:spacing w:line="500" w:lineRule="exact"/>
        <w:ind w:firstLine="560" w:firstLineChars="200"/>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名称：河南省公共资源交易中心</w:t>
      </w:r>
    </w:p>
    <w:p w14:paraId="4F6691BF">
      <w:pPr>
        <w:spacing w:line="500" w:lineRule="exact"/>
        <w:ind w:firstLine="560" w:firstLineChars="200"/>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地址：郑州市经二路12号</w:t>
      </w:r>
    </w:p>
    <w:p w14:paraId="24DD375F">
      <w:pPr>
        <w:spacing w:line="500" w:lineRule="exact"/>
        <w:ind w:firstLine="560" w:firstLineChars="200"/>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联系人：郭老师 余老师</w:t>
      </w:r>
    </w:p>
    <w:p w14:paraId="330B7B40">
      <w:pPr>
        <w:spacing w:line="500" w:lineRule="exact"/>
        <w:ind w:firstLine="560" w:firstLineChars="200"/>
        <w:rPr>
          <w:rFonts w:hint="default" w:ascii="仿宋_GB2312" w:hAnsi="Times New Roman" w:eastAsia="仿宋_GB2312" w:cs="Times New Roman"/>
          <w:color w:val="auto"/>
          <w:sz w:val="28"/>
          <w:szCs w:val="28"/>
          <w:lang w:val="en" w:eastAsia="zh-CN"/>
        </w:rPr>
      </w:pPr>
      <w:r>
        <w:rPr>
          <w:rFonts w:ascii="仿宋_GB2312" w:hAnsi="Times New Roman" w:eastAsia="仿宋_GB2312" w:cs="Times New Roman"/>
          <w:color w:val="auto"/>
          <w:sz w:val="28"/>
          <w:szCs w:val="28"/>
          <w:lang w:val="en-US" w:eastAsia="zh-CN"/>
        </w:rPr>
        <w:t>联系方式：0371-65915560</w:t>
      </w:r>
    </w:p>
    <w:p w14:paraId="3F0D34CF">
      <w:pPr>
        <w:spacing w:line="500" w:lineRule="exact"/>
        <w:ind w:firstLine="560" w:firstLineChars="200"/>
        <w:rPr>
          <w:rFonts w:hint="default" w:ascii="仿宋_GB2312" w:hAnsi="Times New Roman" w:eastAsia="仿宋_GB2312" w:cs="Times New Roman"/>
          <w:color w:val="auto"/>
          <w:sz w:val="28"/>
          <w:szCs w:val="28"/>
          <w:lang w:val="en-US" w:eastAsia="zh-CN"/>
        </w:rPr>
      </w:pPr>
      <w:bookmarkStart w:id="88" w:name="_Toc384972299_WPSOffice_Level3"/>
      <w:bookmarkStart w:id="89" w:name="_Toc483693177_WPSOffice_Level3"/>
      <w:r>
        <w:rPr>
          <w:rFonts w:ascii="仿宋_GB2312" w:hAnsi="Times New Roman" w:eastAsia="仿宋_GB2312" w:cs="Times New Roman"/>
          <w:color w:val="auto"/>
          <w:sz w:val="28"/>
          <w:szCs w:val="28"/>
          <w:lang w:val="en-US" w:eastAsia="zh-CN"/>
        </w:rPr>
        <w:t>3.项目联系方式</w:t>
      </w:r>
      <w:bookmarkEnd w:id="88"/>
      <w:bookmarkEnd w:id="89"/>
    </w:p>
    <w:p w14:paraId="4B10C1DB">
      <w:pPr>
        <w:spacing w:line="500" w:lineRule="exact"/>
        <w:ind w:firstLine="560" w:firstLineChars="200"/>
        <w:rPr>
          <w:rFonts w:hint="default" w:ascii="仿宋_GB2312" w:hAnsi="Times New Roman" w:eastAsia="仿宋_GB2312" w:cs="Times New Roman"/>
          <w:color w:val="auto"/>
          <w:sz w:val="28"/>
          <w:szCs w:val="28"/>
          <w:lang w:val="en-US" w:eastAsia="zh-CN"/>
        </w:rPr>
      </w:pPr>
      <w:r>
        <w:rPr>
          <w:rFonts w:hint="default" w:ascii="仿宋_GB2312" w:hAnsi="Times New Roman" w:eastAsia="仿宋_GB2312" w:cs="Times New Roman"/>
          <w:color w:val="auto"/>
          <w:sz w:val="28"/>
          <w:szCs w:val="28"/>
          <w:lang w:val="en-US" w:eastAsia="zh-CN"/>
        </w:rPr>
        <w:t>联系人：</w:t>
      </w:r>
      <w:r>
        <w:rPr>
          <w:rFonts w:ascii="仿宋_GB2312" w:hAnsi="Times New Roman" w:eastAsia="仿宋_GB2312" w:cs="Times New Roman"/>
          <w:color w:val="auto"/>
          <w:sz w:val="28"/>
          <w:szCs w:val="28"/>
          <w:lang w:val="en-US" w:eastAsia="zh-CN"/>
        </w:rPr>
        <w:t>马骏宇</w:t>
      </w:r>
    </w:p>
    <w:p w14:paraId="65313AD8">
      <w:pPr>
        <w:spacing w:line="500" w:lineRule="exact"/>
        <w:ind w:firstLine="560" w:firstLineChars="200"/>
        <w:rPr>
          <w:rFonts w:hint="default" w:ascii="仿宋_GB2312" w:hAnsi="Times New Roman" w:eastAsia="仿宋_GB2312" w:cs="Times New Roman"/>
          <w:color w:val="auto"/>
          <w:sz w:val="28"/>
          <w:szCs w:val="28"/>
          <w:lang w:val="en-US" w:eastAsia="zh-CN"/>
        </w:rPr>
      </w:pPr>
      <w:r>
        <w:rPr>
          <w:rFonts w:hint="default" w:ascii="仿宋_GB2312" w:hAnsi="Times New Roman" w:eastAsia="仿宋_GB2312" w:cs="Times New Roman"/>
          <w:color w:val="auto"/>
          <w:sz w:val="28"/>
          <w:szCs w:val="28"/>
          <w:lang w:val="en-US" w:eastAsia="zh-CN"/>
        </w:rPr>
        <w:t>联系方式：</w:t>
      </w:r>
      <w:r>
        <w:rPr>
          <w:rFonts w:ascii="仿宋_GB2312" w:hAnsi="Times New Roman" w:eastAsia="仿宋_GB2312" w:cs="Times New Roman"/>
          <w:color w:val="auto"/>
          <w:sz w:val="28"/>
          <w:szCs w:val="28"/>
          <w:lang w:val="en-US" w:eastAsia="zh-CN"/>
        </w:rPr>
        <w:t>0373-4402607</w:t>
      </w:r>
    </w:p>
    <w:p w14:paraId="4350399C">
      <w:pPr>
        <w:spacing w:line="500" w:lineRule="exact"/>
        <w:ind w:firstLine="560" w:firstLineChars="200"/>
        <w:rPr>
          <w:rFonts w:hint="default" w:ascii="Times New Roman" w:hAnsi="Times New Roman" w:eastAsia="仿宋_GB2312" w:cs="Times New Roman"/>
          <w:color w:val="auto"/>
          <w:sz w:val="28"/>
          <w:szCs w:val="28"/>
          <w:lang w:val="en-US" w:eastAsia="zh-CN"/>
        </w:rPr>
        <w:sectPr>
          <w:footerReference r:id="rId5" w:type="default"/>
          <w:pgSz w:w="11900" w:h="16840"/>
          <w:pgMar w:top="1440" w:right="1797" w:bottom="1440" w:left="1797" w:header="851" w:footer="992" w:gutter="0"/>
          <w:pgNumType w:start="1"/>
          <w:cols w:space="720" w:num="1"/>
        </w:sectPr>
      </w:pPr>
    </w:p>
    <w:p w14:paraId="5675B15D">
      <w:pPr>
        <w:pStyle w:val="2"/>
        <w:spacing w:before="0" w:after="0" w:line="360" w:lineRule="auto"/>
        <w:jc w:val="center"/>
        <w:rPr>
          <w:rFonts w:ascii="Times New Roman" w:hAnsi="Times New Roman" w:eastAsia="宋体"/>
          <w:color w:val="auto"/>
          <w:sz w:val="36"/>
          <w:szCs w:val="36"/>
          <w:lang w:eastAsia="zh-CN"/>
        </w:rPr>
      </w:pPr>
      <w:bookmarkStart w:id="90" w:name="_Toc827828127_WPSOffice_Level1"/>
      <w:bookmarkStart w:id="91" w:name="_Toc888082094"/>
      <w:bookmarkStart w:id="92" w:name="_Toc11333"/>
      <w:r>
        <w:rPr>
          <w:rFonts w:ascii="Times New Roman" w:hAnsi="Times New Roman" w:eastAsia="宋体"/>
          <w:color w:val="auto"/>
          <w:sz w:val="36"/>
          <w:szCs w:val="36"/>
          <w:lang w:eastAsia="zh-CN"/>
        </w:rPr>
        <w:t>第二章 投标人须知前附表</w:t>
      </w:r>
      <w:bookmarkEnd w:id="20"/>
      <w:bookmarkEnd w:id="21"/>
      <w:bookmarkEnd w:id="22"/>
      <w:bookmarkEnd w:id="23"/>
      <w:bookmarkEnd w:id="24"/>
      <w:bookmarkEnd w:id="25"/>
      <w:bookmarkEnd w:id="26"/>
      <w:bookmarkEnd w:id="27"/>
      <w:bookmarkEnd w:id="28"/>
      <w:bookmarkEnd w:id="29"/>
      <w:bookmarkEnd w:id="30"/>
      <w:bookmarkEnd w:id="31"/>
      <w:bookmarkEnd w:id="90"/>
      <w:bookmarkEnd w:id="91"/>
      <w:bookmarkEnd w:id="92"/>
    </w:p>
    <w:p w14:paraId="23C2EA06">
      <w:pPr>
        <w:spacing w:line="5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本表是对投标人须知的具体补充和修改，如有矛盾，应以本表为准。</w:t>
      </w:r>
    </w:p>
    <w:tbl>
      <w:tblPr>
        <w:tblStyle w:val="51"/>
        <w:tblW w:w="8703" w:type="dxa"/>
        <w:tblInd w:w="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52"/>
        <w:gridCol w:w="7751"/>
      </w:tblGrid>
      <w:tr w14:paraId="3E3DE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0" w:hRule="atLeast"/>
          <w:tblHeader/>
        </w:trPr>
        <w:tc>
          <w:tcPr>
            <w:tcW w:w="952" w:type="dxa"/>
            <w:vAlign w:val="center"/>
          </w:tcPr>
          <w:p w14:paraId="740AB7A3">
            <w:pPr>
              <w:spacing w:after="0" w:line="360" w:lineRule="auto"/>
              <w:jc w:val="center"/>
              <w:rPr>
                <w:rFonts w:hint="default" w:ascii="仿宋_GB2312" w:hAnsi="Times New Roman" w:eastAsia="仿宋_GB2312" w:cs="Times New Roman"/>
                <w:b/>
                <w:bCs/>
                <w:color w:val="auto"/>
                <w:sz w:val="28"/>
                <w:szCs w:val="28"/>
              </w:rPr>
            </w:pPr>
            <w:r>
              <w:rPr>
                <w:rFonts w:ascii="仿宋_GB2312" w:hAnsi="Times New Roman" w:eastAsia="仿宋_GB2312" w:cs="Times New Roman"/>
                <w:b/>
                <w:bCs/>
                <w:color w:val="auto"/>
                <w:sz w:val="28"/>
                <w:szCs w:val="28"/>
              </w:rPr>
              <w:t>条款号</w:t>
            </w:r>
          </w:p>
        </w:tc>
        <w:tc>
          <w:tcPr>
            <w:tcW w:w="7751" w:type="dxa"/>
            <w:vAlign w:val="center"/>
          </w:tcPr>
          <w:p w14:paraId="682B954E">
            <w:pPr>
              <w:spacing w:after="0" w:line="360" w:lineRule="auto"/>
              <w:jc w:val="center"/>
              <w:rPr>
                <w:rFonts w:hint="default" w:ascii="仿宋_GB2312" w:hAnsi="Times New Roman" w:eastAsia="仿宋_GB2312" w:cs="Times New Roman"/>
                <w:b/>
                <w:bCs/>
                <w:color w:val="auto"/>
                <w:sz w:val="28"/>
                <w:szCs w:val="28"/>
              </w:rPr>
            </w:pPr>
            <w:r>
              <w:rPr>
                <w:rFonts w:ascii="仿宋_GB2312" w:hAnsi="Times New Roman" w:eastAsia="仿宋_GB2312" w:cs="Times New Roman"/>
                <w:b/>
                <w:bCs/>
                <w:color w:val="auto"/>
                <w:sz w:val="28"/>
                <w:szCs w:val="28"/>
              </w:rPr>
              <w:t>内      容</w:t>
            </w:r>
          </w:p>
        </w:tc>
      </w:tr>
      <w:tr w14:paraId="541C7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3" w:hRule="atLeast"/>
        </w:trPr>
        <w:tc>
          <w:tcPr>
            <w:tcW w:w="952" w:type="dxa"/>
            <w:vAlign w:val="center"/>
          </w:tcPr>
          <w:p w14:paraId="39ACD425">
            <w:pPr>
              <w:spacing w:after="0" w:line="360" w:lineRule="auto"/>
              <w:jc w:val="center"/>
              <w:rPr>
                <w:rFonts w:hint="default" w:ascii="仿宋_GB2312" w:hAnsi="Times New Roman" w:eastAsia="仿宋_GB2312" w:cs="Times New Roman"/>
                <w:color w:val="auto"/>
                <w:sz w:val="28"/>
                <w:szCs w:val="28"/>
              </w:rPr>
            </w:pPr>
            <w:r>
              <w:rPr>
                <w:rFonts w:ascii="仿宋_GB2312" w:hAnsi="Times New Roman" w:eastAsia="仿宋_GB2312" w:cs="Times New Roman"/>
                <w:color w:val="auto"/>
                <w:sz w:val="28"/>
                <w:szCs w:val="28"/>
              </w:rPr>
              <w:t>1.2</w:t>
            </w:r>
          </w:p>
        </w:tc>
        <w:tc>
          <w:tcPr>
            <w:tcW w:w="7751" w:type="dxa"/>
            <w:vAlign w:val="center"/>
          </w:tcPr>
          <w:p w14:paraId="07C4A2BB">
            <w:pPr>
              <w:spacing w:after="0" w:line="360" w:lineRule="auto"/>
              <w:rPr>
                <w:rFonts w:hint="default" w:ascii="仿宋_GB2312" w:hAnsi="Times New Roman" w:eastAsia="仿宋_GB2312" w:cs="Times New Roman"/>
                <w:color w:val="auto"/>
                <w:sz w:val="28"/>
                <w:szCs w:val="28"/>
                <w:lang w:val="en" w:eastAsia="zh-CN"/>
              </w:rPr>
            </w:pPr>
            <w:r>
              <w:rPr>
                <w:rFonts w:ascii="仿宋_GB2312" w:hAnsi="Times New Roman" w:eastAsia="仿宋_GB2312" w:cs="Times New Roman"/>
                <w:color w:val="auto"/>
                <w:sz w:val="28"/>
                <w:szCs w:val="28"/>
                <w:lang w:val="en" w:eastAsia="zh-CN"/>
              </w:rPr>
              <w:t>采购项目</w:t>
            </w:r>
            <w:r>
              <w:rPr>
                <w:rFonts w:ascii="仿宋_GB2312" w:hAnsi="Times New Roman" w:eastAsia="仿宋_GB2312" w:cs="Times New Roman"/>
                <w:color w:val="auto"/>
                <w:sz w:val="28"/>
                <w:szCs w:val="28"/>
                <w:lang w:eastAsia="zh-CN"/>
              </w:rPr>
              <w:t>：</w:t>
            </w:r>
            <w:r>
              <w:rPr>
                <w:rFonts w:ascii="仿宋_GB2312" w:hAnsi="Times New Roman" w:eastAsia="仿宋_GB2312" w:cs="Times New Roman"/>
                <w:color w:val="auto"/>
                <w:sz w:val="28"/>
                <w:szCs w:val="28"/>
                <w:lang w:val="en" w:eastAsia="zh-CN"/>
              </w:rPr>
              <w:t>新乡医学院第一附属医院信息化基础设施及安全能力提升项目</w:t>
            </w:r>
          </w:p>
        </w:tc>
      </w:tr>
      <w:tr w14:paraId="17C75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76" w:hRule="atLeast"/>
        </w:trPr>
        <w:tc>
          <w:tcPr>
            <w:tcW w:w="952" w:type="dxa"/>
            <w:vAlign w:val="center"/>
          </w:tcPr>
          <w:p w14:paraId="56FA5AD2">
            <w:pPr>
              <w:spacing w:after="0" w:line="360" w:lineRule="auto"/>
              <w:jc w:val="center"/>
              <w:rPr>
                <w:rFonts w:hint="default" w:ascii="仿宋_GB2312" w:hAnsi="Times New Roman" w:eastAsia="仿宋_GB2312" w:cs="Times New Roman"/>
                <w:color w:val="auto"/>
                <w:sz w:val="28"/>
                <w:szCs w:val="28"/>
              </w:rPr>
            </w:pPr>
            <w:r>
              <w:rPr>
                <w:rFonts w:ascii="仿宋_GB2312" w:hAnsi="Times New Roman" w:eastAsia="仿宋_GB2312" w:cs="Times New Roman"/>
                <w:color w:val="auto"/>
                <w:sz w:val="28"/>
                <w:szCs w:val="28"/>
              </w:rPr>
              <w:t>1.3</w:t>
            </w:r>
          </w:p>
        </w:tc>
        <w:tc>
          <w:tcPr>
            <w:tcW w:w="7751" w:type="dxa"/>
            <w:vAlign w:val="center"/>
          </w:tcPr>
          <w:p w14:paraId="713E7B9B">
            <w:pPr>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eastAsia="zh-CN"/>
              </w:rPr>
              <w:t>采购</w:t>
            </w:r>
            <w:r>
              <w:rPr>
                <w:rFonts w:ascii="仿宋_GB2312" w:hAnsi="Times New Roman" w:eastAsia="仿宋_GB2312" w:cs="Times New Roman"/>
                <w:color w:val="auto"/>
                <w:sz w:val="28"/>
                <w:szCs w:val="28"/>
                <w:lang w:val="en" w:eastAsia="zh-CN"/>
              </w:rPr>
              <w:t>编号：豫财招标采购-2024-1257</w:t>
            </w:r>
          </w:p>
        </w:tc>
      </w:tr>
      <w:tr w14:paraId="460CC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621D19F5">
            <w:pPr>
              <w:spacing w:after="0" w:line="360" w:lineRule="auto"/>
              <w:jc w:val="center"/>
              <w:rPr>
                <w:rFonts w:hint="default" w:ascii="仿宋_GB2312" w:hAnsi="Times New Roman" w:eastAsia="仿宋_GB2312" w:cs="Times New Roman"/>
                <w:color w:val="auto"/>
                <w:sz w:val="28"/>
                <w:szCs w:val="28"/>
              </w:rPr>
            </w:pPr>
            <w:r>
              <w:rPr>
                <w:rFonts w:ascii="仿宋_GB2312" w:hAnsi="Times New Roman" w:eastAsia="仿宋_GB2312" w:cs="Times New Roman"/>
                <w:color w:val="auto"/>
                <w:sz w:val="28"/>
                <w:szCs w:val="28"/>
              </w:rPr>
              <w:t>1.4</w:t>
            </w:r>
          </w:p>
        </w:tc>
        <w:tc>
          <w:tcPr>
            <w:tcW w:w="7751" w:type="dxa"/>
            <w:vAlign w:val="center"/>
          </w:tcPr>
          <w:p w14:paraId="2CDFE153">
            <w:pPr>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采购项目简要说明</w:t>
            </w:r>
          </w:p>
          <w:p w14:paraId="3DAB87F4">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1.</w:t>
            </w:r>
            <w:r>
              <w:rPr>
                <w:rFonts w:ascii="仿宋_GB2312" w:hAnsi="Times New Roman" w:eastAsia="仿宋_GB2312" w:cs="Times New Roman"/>
                <w:color w:val="auto"/>
                <w:sz w:val="28"/>
                <w:szCs w:val="28"/>
                <w:lang w:eastAsia="zh-CN"/>
              </w:rPr>
              <w:t>预算金额和最高限价：详见“第一章 投标邀请”</w:t>
            </w:r>
          </w:p>
          <w:p w14:paraId="5084DB30">
            <w:pPr>
              <w:spacing w:after="0" w:line="360" w:lineRule="auto"/>
              <w:rPr>
                <w:rFonts w:hint="default" w:ascii="仿宋_GB2312" w:hAnsi="Times New Roman" w:eastAsia="仿宋_GB2312" w:cs="Times New Roman"/>
                <w:color w:val="auto"/>
                <w:sz w:val="28"/>
                <w:szCs w:val="28"/>
                <w:lang w:val="en" w:eastAsia="zh-CN"/>
              </w:rPr>
            </w:pPr>
            <w:r>
              <w:rPr>
                <w:rFonts w:ascii="仿宋_GB2312" w:hAnsi="Times New Roman" w:eastAsia="仿宋_GB2312" w:cs="Times New Roman"/>
                <w:color w:val="auto"/>
                <w:sz w:val="28"/>
                <w:szCs w:val="28"/>
                <w:lang w:val="en-US" w:eastAsia="zh-CN"/>
              </w:rPr>
              <w:t>2.</w:t>
            </w:r>
            <w:r>
              <w:rPr>
                <w:rFonts w:ascii="仿宋_GB2312" w:hAnsi="Times New Roman" w:eastAsia="仿宋_GB2312" w:cs="Times New Roman"/>
                <w:color w:val="auto"/>
                <w:sz w:val="28"/>
                <w:szCs w:val="28"/>
                <w:lang w:eastAsia="zh-CN"/>
              </w:rPr>
              <w:t>招标内容：</w:t>
            </w:r>
            <w:r>
              <w:rPr>
                <w:rFonts w:ascii="仿宋_GB2312" w:hAnsi="Times New Roman" w:eastAsia="仿宋_GB2312" w:cs="Times New Roman"/>
                <w:color w:val="auto"/>
                <w:sz w:val="28"/>
                <w:szCs w:val="28"/>
                <w:lang w:val="en" w:eastAsia="zh-CN"/>
              </w:rPr>
              <w:t>新乡医学院第一附属医院信息化基础设施及安全能力提升项目</w:t>
            </w:r>
            <w:r>
              <w:rPr>
                <w:rFonts w:ascii="仿宋_GB2312" w:hAnsi="Times New Roman" w:eastAsia="仿宋_GB2312" w:cs="Times New Roman"/>
                <w:color w:val="auto"/>
                <w:sz w:val="28"/>
                <w:szCs w:val="28"/>
                <w:lang w:val="en-US" w:eastAsia="zh-CN"/>
              </w:rPr>
              <w:t>，共分1个包，包括：虚拟化服务器8台、PACS服务器4台、虚拟化软件及授权1套、PACS存储1台、业务存储2台、光纤交换机4台、备份一体机1台、25G交换机4台、内网&amp;外网准入系统1项、数据中心防火墙2台、WAF1台、集成服务1项、驻场服务1人</w:t>
            </w:r>
            <w:r>
              <w:rPr>
                <w:rFonts w:hint="eastAsia" w:ascii="仿宋_GB2312" w:hAnsi="Times New Roman" w:eastAsia="仿宋_GB2312" w:cs="Times New Roman"/>
                <w:color w:val="auto"/>
                <w:sz w:val="28"/>
                <w:szCs w:val="28"/>
                <w:lang w:val="en-US" w:eastAsia="zh-CN"/>
              </w:rPr>
              <w:t>；硬件设备三年原厂质保</w:t>
            </w:r>
            <w:r>
              <w:rPr>
                <w:rFonts w:ascii="仿宋_GB2312" w:hAnsi="Times New Roman" w:eastAsia="仿宋_GB2312" w:cs="Times New Roman"/>
                <w:color w:val="auto"/>
                <w:sz w:val="28"/>
                <w:szCs w:val="28"/>
                <w:lang w:val="en-US" w:eastAsia="zh-CN"/>
              </w:rPr>
              <w:t>。</w:t>
            </w:r>
          </w:p>
          <w:p w14:paraId="0A705279">
            <w:pPr>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3.</w:t>
            </w:r>
            <w:r>
              <w:rPr>
                <w:rFonts w:ascii="仿宋_GB2312" w:hAnsi="Times New Roman" w:eastAsia="仿宋_GB2312" w:cs="Times New Roman"/>
                <w:color w:val="auto"/>
                <w:sz w:val="28"/>
                <w:szCs w:val="28"/>
                <w:lang w:eastAsia="zh-CN"/>
              </w:rPr>
              <w:t>交货期：</w:t>
            </w:r>
            <w:r>
              <w:rPr>
                <w:rFonts w:hint="default" w:ascii="仿宋_GB2312" w:hAnsi="Times New Roman" w:eastAsia="仿宋_GB2312" w:cs="Times New Roman"/>
                <w:color w:val="auto"/>
                <w:sz w:val="28"/>
                <w:szCs w:val="28"/>
                <w:lang w:val="en" w:eastAsia="zh-CN"/>
              </w:rPr>
              <w:t>合同签订后30个日历日内完成本项目的供货、安装及调试。</w:t>
            </w:r>
          </w:p>
          <w:p w14:paraId="72DA2352">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4.</w:t>
            </w:r>
            <w:r>
              <w:rPr>
                <w:rFonts w:ascii="仿宋_GB2312" w:hAnsi="Times New Roman" w:eastAsia="仿宋_GB2312" w:cs="Times New Roman"/>
                <w:color w:val="auto"/>
                <w:sz w:val="28"/>
                <w:szCs w:val="28"/>
                <w:lang w:eastAsia="zh-CN"/>
              </w:rPr>
              <w:t>交货地点：</w:t>
            </w:r>
            <w:r>
              <w:rPr>
                <w:rFonts w:ascii="仿宋_GB2312" w:hAnsi="Times New Roman" w:eastAsia="仿宋_GB2312" w:cs="Times New Roman"/>
                <w:color w:val="auto"/>
                <w:sz w:val="28"/>
                <w:szCs w:val="28"/>
                <w:lang w:val="en-US" w:eastAsia="zh-CN"/>
              </w:rPr>
              <w:t>新乡医学院第一附属医院院内（卫辉市健康路88号）</w:t>
            </w:r>
          </w:p>
          <w:p w14:paraId="704134FC">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5.</w:t>
            </w:r>
            <w:r>
              <w:rPr>
                <w:rFonts w:ascii="仿宋_GB2312" w:hAnsi="Times New Roman" w:eastAsia="仿宋_GB2312" w:cs="Times New Roman"/>
                <w:color w:val="auto"/>
                <w:sz w:val="28"/>
                <w:szCs w:val="28"/>
                <w:lang w:eastAsia="zh-CN"/>
              </w:rPr>
              <w:t>质量标准：</w:t>
            </w:r>
            <w:r>
              <w:rPr>
                <w:rFonts w:ascii="仿宋_GB2312" w:hAnsi="仿宋" w:eastAsia="仿宋_GB2312" w:cs="仿宋"/>
                <w:iCs/>
                <w:color w:val="auto"/>
                <w:sz w:val="28"/>
                <w:szCs w:val="28"/>
                <w:lang w:val="en-US" w:eastAsia="zh-CN"/>
              </w:rPr>
              <w:t>合格，符合国家相关验收规范标准</w:t>
            </w:r>
            <w:r>
              <w:rPr>
                <w:rFonts w:ascii="仿宋_GB2312" w:hAnsi="Times New Roman" w:eastAsia="仿宋_GB2312" w:cs="Times New Roman"/>
                <w:color w:val="auto"/>
                <w:sz w:val="28"/>
                <w:szCs w:val="28"/>
                <w:lang w:eastAsia="zh-CN"/>
              </w:rPr>
              <w:t>。</w:t>
            </w:r>
          </w:p>
          <w:p w14:paraId="68527616">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6.</w:t>
            </w:r>
            <w:r>
              <w:rPr>
                <w:rFonts w:ascii="仿宋_GB2312" w:hAnsi="Times New Roman" w:eastAsia="仿宋_GB2312" w:cs="Times New Roman"/>
                <w:color w:val="auto"/>
                <w:sz w:val="28"/>
                <w:szCs w:val="28"/>
                <w:lang w:eastAsia="zh-CN"/>
              </w:rPr>
              <w:t>质量保证期：</w:t>
            </w:r>
            <w:r>
              <w:rPr>
                <w:rFonts w:hint="eastAsia" w:ascii="仿宋_GB2312" w:hAnsi="Times New Roman" w:eastAsia="仿宋_GB2312" w:cs="Times New Roman"/>
                <w:color w:val="auto"/>
                <w:sz w:val="28"/>
                <w:szCs w:val="28"/>
                <w:lang w:val="en-US" w:eastAsia="zh-CN"/>
              </w:rPr>
              <w:t>3</w:t>
            </w:r>
            <w:r>
              <w:rPr>
                <w:rFonts w:ascii="仿宋_GB2312" w:hAnsi="Times New Roman" w:eastAsia="仿宋_GB2312" w:cs="Times New Roman"/>
                <w:color w:val="auto"/>
                <w:sz w:val="28"/>
                <w:szCs w:val="28"/>
                <w:lang w:eastAsia="zh-CN"/>
              </w:rPr>
              <w:t>年</w:t>
            </w:r>
            <w:r>
              <w:rPr>
                <w:rFonts w:hint="eastAsia" w:ascii="仿宋_GB2312" w:hAnsi="Times New Roman" w:eastAsia="仿宋_GB2312" w:cs="Times New Roman"/>
                <w:color w:val="auto"/>
                <w:sz w:val="28"/>
                <w:szCs w:val="28"/>
                <w:lang w:eastAsia="zh-CN"/>
              </w:rPr>
              <w:t>，</w:t>
            </w:r>
            <w:r>
              <w:rPr>
                <w:rFonts w:ascii="仿宋_GB2312" w:hAnsi="Times New Roman" w:eastAsia="仿宋_GB2312" w:cs="Times New Roman"/>
                <w:color w:val="auto"/>
                <w:sz w:val="28"/>
                <w:szCs w:val="28"/>
                <w:lang w:val="en-US" w:eastAsia="zh-CN"/>
              </w:rPr>
              <w:t>从验收合格之日起开始计算</w:t>
            </w:r>
            <w:r>
              <w:rPr>
                <w:rFonts w:ascii="仿宋_GB2312" w:hAnsi="Times New Roman" w:eastAsia="仿宋_GB2312" w:cs="Times New Roman"/>
                <w:color w:val="auto"/>
                <w:sz w:val="28"/>
                <w:szCs w:val="28"/>
                <w:lang w:eastAsia="zh-CN"/>
              </w:rPr>
              <w:t>。</w:t>
            </w:r>
          </w:p>
        </w:tc>
      </w:tr>
      <w:tr w14:paraId="48F8F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65D1572C">
            <w:pPr>
              <w:spacing w:after="0" w:line="360" w:lineRule="auto"/>
              <w:jc w:val="center"/>
              <w:rPr>
                <w:rFonts w:hint="default" w:ascii="仿宋_GB2312" w:hAnsi="Times New Roman" w:eastAsia="仿宋_GB2312" w:cs="Times New Roman"/>
                <w:color w:val="auto"/>
                <w:sz w:val="28"/>
                <w:szCs w:val="28"/>
              </w:rPr>
            </w:pPr>
            <w:r>
              <w:rPr>
                <w:rFonts w:ascii="仿宋_GB2312" w:hAnsi="Times New Roman" w:eastAsia="仿宋_GB2312" w:cs="Times New Roman"/>
                <w:color w:val="auto"/>
                <w:sz w:val="28"/>
                <w:szCs w:val="28"/>
              </w:rPr>
              <w:t>2.2</w:t>
            </w:r>
          </w:p>
        </w:tc>
        <w:tc>
          <w:tcPr>
            <w:tcW w:w="7751" w:type="dxa"/>
            <w:vAlign w:val="center"/>
          </w:tcPr>
          <w:p w14:paraId="3C597A9F">
            <w:pPr>
              <w:spacing w:after="0" w:line="360" w:lineRule="auto"/>
              <w:rPr>
                <w:rFonts w:hint="default" w:ascii="仿宋_GB2312" w:hAnsi="Times New Roman" w:eastAsia="仿宋_GB2312" w:cs="Times New Roman"/>
                <w:color w:val="auto"/>
                <w:sz w:val="28"/>
                <w:szCs w:val="28"/>
                <w:lang w:val="en" w:eastAsia="zh-CN"/>
              </w:rPr>
            </w:pPr>
            <w:r>
              <w:rPr>
                <w:rFonts w:ascii="仿宋_GB2312" w:hAnsi="Times New Roman" w:eastAsia="仿宋_GB2312" w:cs="Times New Roman"/>
                <w:color w:val="auto"/>
                <w:sz w:val="28"/>
                <w:szCs w:val="28"/>
                <w:lang w:val="zh-CN" w:eastAsia="zh-CN"/>
              </w:rPr>
              <w:t>采购人：</w:t>
            </w:r>
            <w:r>
              <w:rPr>
                <w:rFonts w:ascii="仿宋_GB2312" w:hAnsi="Times New Roman" w:eastAsia="仿宋_GB2312" w:cs="Times New Roman"/>
                <w:color w:val="auto"/>
                <w:sz w:val="28"/>
                <w:szCs w:val="28"/>
                <w:lang w:val="en" w:eastAsia="zh-CN"/>
              </w:rPr>
              <w:t>新乡医学院第一附属医院</w:t>
            </w:r>
          </w:p>
          <w:p w14:paraId="12F17D49">
            <w:pPr>
              <w:pStyle w:val="12"/>
              <w:ind w:left="0" w:leftChars="0"/>
              <w:rPr>
                <w:rFonts w:hint="default" w:ascii="仿宋_GB2312" w:hAnsi="Times New Roman" w:eastAsia="仿宋_GB2312" w:cs="Times New Roman"/>
                <w:color w:val="auto"/>
                <w:sz w:val="28"/>
                <w:szCs w:val="28"/>
                <w:lang w:val="en" w:eastAsia="zh-CN"/>
              </w:rPr>
            </w:pPr>
            <w:r>
              <w:rPr>
                <w:rFonts w:hint="default" w:ascii="仿宋_GB2312" w:hAnsi="Times New Roman" w:eastAsia="仿宋_GB2312" w:cs="Times New Roman"/>
                <w:color w:val="auto"/>
                <w:sz w:val="28"/>
                <w:szCs w:val="28"/>
                <w:lang w:val="en" w:eastAsia="zh-CN"/>
              </w:rPr>
              <w:t>地址：卫辉市健康路88号</w:t>
            </w:r>
          </w:p>
          <w:p w14:paraId="5E0B58C9">
            <w:pPr>
              <w:pStyle w:val="12"/>
              <w:ind w:left="0" w:leftChars="0"/>
              <w:rPr>
                <w:rFonts w:hint="default" w:ascii="仿宋_GB2312" w:hAnsi="Times New Roman" w:eastAsia="仿宋_GB2312" w:cs="Times New Roman"/>
                <w:color w:val="auto"/>
                <w:sz w:val="28"/>
                <w:szCs w:val="28"/>
                <w:lang w:val="en" w:eastAsia="zh-CN"/>
              </w:rPr>
            </w:pPr>
            <w:r>
              <w:rPr>
                <w:rFonts w:hint="default" w:ascii="仿宋_GB2312" w:hAnsi="Times New Roman" w:eastAsia="仿宋_GB2312" w:cs="Times New Roman"/>
                <w:color w:val="auto"/>
                <w:sz w:val="28"/>
                <w:szCs w:val="28"/>
                <w:lang w:val="en" w:eastAsia="zh-CN"/>
              </w:rPr>
              <w:t>联系人：孙老师</w:t>
            </w:r>
          </w:p>
          <w:p w14:paraId="26EEA4C2">
            <w:pPr>
              <w:pStyle w:val="12"/>
              <w:ind w:left="0" w:leftChars="0"/>
              <w:rPr>
                <w:rFonts w:hint="default" w:ascii="仿宋_GB2312" w:hAnsi="Times New Roman" w:eastAsia="仿宋_GB2312" w:cs="Times New Roman"/>
                <w:color w:val="auto"/>
                <w:sz w:val="28"/>
                <w:szCs w:val="28"/>
                <w:lang w:val="en" w:eastAsia="zh-CN"/>
              </w:rPr>
            </w:pPr>
            <w:r>
              <w:rPr>
                <w:rFonts w:hint="default" w:ascii="仿宋_GB2312" w:hAnsi="Times New Roman" w:eastAsia="仿宋_GB2312" w:cs="Times New Roman"/>
                <w:color w:val="auto"/>
                <w:sz w:val="28"/>
                <w:szCs w:val="28"/>
                <w:lang w:val="en" w:eastAsia="zh-CN"/>
              </w:rPr>
              <w:t>联系方式：0373-4402905</w:t>
            </w:r>
          </w:p>
          <w:p w14:paraId="179856AE">
            <w:pPr>
              <w:pStyle w:val="12"/>
              <w:ind w:left="0" w:leftChars="0"/>
              <w:rPr>
                <w:lang w:val="en" w:eastAsia="zh-CN"/>
              </w:rPr>
            </w:pPr>
            <w:r>
              <w:rPr>
                <w:rFonts w:hint="default" w:ascii="仿宋_GB2312" w:hAnsi="Times New Roman" w:eastAsia="仿宋_GB2312" w:cs="Times New Roman"/>
                <w:color w:val="auto"/>
                <w:sz w:val="28"/>
                <w:szCs w:val="28"/>
                <w:lang w:val="en" w:eastAsia="zh-CN"/>
              </w:rPr>
              <w:t>邮箱：xinyiyifuyuan@163.com</w:t>
            </w:r>
          </w:p>
        </w:tc>
      </w:tr>
      <w:tr w14:paraId="52ADD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934" w:hRule="atLeast"/>
        </w:trPr>
        <w:tc>
          <w:tcPr>
            <w:tcW w:w="952" w:type="dxa"/>
            <w:vAlign w:val="center"/>
          </w:tcPr>
          <w:p w14:paraId="408D2D8D">
            <w:pPr>
              <w:spacing w:after="0" w:line="360" w:lineRule="auto"/>
              <w:jc w:val="center"/>
              <w:rPr>
                <w:rFonts w:hint="default" w:ascii="仿宋_GB2312" w:hAnsi="Times New Roman" w:eastAsia="仿宋_GB2312" w:cs="Times New Roman"/>
                <w:color w:val="auto"/>
                <w:sz w:val="28"/>
                <w:szCs w:val="28"/>
              </w:rPr>
            </w:pPr>
            <w:r>
              <w:rPr>
                <w:rFonts w:ascii="仿宋_GB2312" w:hAnsi="Times New Roman" w:eastAsia="仿宋_GB2312" w:cs="Times New Roman"/>
                <w:color w:val="auto"/>
                <w:sz w:val="28"/>
                <w:szCs w:val="28"/>
              </w:rPr>
              <w:t>2.3</w:t>
            </w:r>
          </w:p>
        </w:tc>
        <w:tc>
          <w:tcPr>
            <w:tcW w:w="7751" w:type="dxa"/>
            <w:vAlign w:val="center"/>
          </w:tcPr>
          <w:p w14:paraId="265B8A48">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集中采购机构：河南省公共资源交易中心</w:t>
            </w:r>
          </w:p>
          <w:p w14:paraId="79ABCF08">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地址：郑州市经二路12号</w:t>
            </w:r>
          </w:p>
          <w:p w14:paraId="292E1853">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联系人：郭老师</w:t>
            </w:r>
            <w:r>
              <w:rPr>
                <w:rFonts w:ascii="仿宋_GB2312" w:hAnsi="Times New Roman" w:eastAsia="仿宋_GB2312" w:cs="Times New Roman"/>
                <w:color w:val="auto"/>
                <w:sz w:val="28"/>
                <w:szCs w:val="28"/>
                <w:lang w:val="en-US" w:eastAsia="zh-CN"/>
              </w:rPr>
              <w:t xml:space="preserve"> </w:t>
            </w:r>
            <w:r>
              <w:rPr>
                <w:rFonts w:ascii="仿宋_GB2312" w:hAnsi="Times New Roman" w:eastAsia="仿宋_GB2312" w:cs="Times New Roman"/>
                <w:color w:val="auto"/>
                <w:sz w:val="28"/>
                <w:szCs w:val="28"/>
                <w:lang w:eastAsia="zh-CN"/>
              </w:rPr>
              <w:t>余老师</w:t>
            </w:r>
          </w:p>
          <w:p w14:paraId="345B1C78">
            <w:pPr>
              <w:spacing w:after="0" w:line="360" w:lineRule="auto"/>
              <w:rPr>
                <w:rFonts w:hint="default" w:ascii="仿宋_GB2312" w:hAnsi="Times New Roman" w:eastAsia="仿宋_GB2312" w:cs="Times New Roman"/>
                <w:color w:val="auto"/>
                <w:sz w:val="28"/>
                <w:szCs w:val="28"/>
              </w:rPr>
            </w:pPr>
            <w:r>
              <w:rPr>
                <w:rFonts w:ascii="仿宋_GB2312" w:hAnsi="Times New Roman" w:eastAsia="仿宋_GB2312" w:cs="Times New Roman"/>
                <w:color w:val="auto"/>
                <w:sz w:val="28"/>
                <w:szCs w:val="28"/>
              </w:rPr>
              <w:t>联系方式：0371-65915560</w:t>
            </w:r>
          </w:p>
          <w:p w14:paraId="0821CB49">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rPr>
              <w:t>邮箱：</w:t>
            </w:r>
            <w:r>
              <w:fldChar w:fldCharType="begin"/>
            </w:r>
            <w:r>
              <w:instrText xml:space="preserve"> HYPERLINK "mailto:hnggzyzfcg@163.com" </w:instrText>
            </w:r>
            <w:r>
              <w:fldChar w:fldCharType="separate"/>
            </w:r>
            <w:r>
              <w:rPr>
                <w:rStyle w:val="62"/>
                <w:rFonts w:ascii="仿宋_GB2312" w:hAnsi="Times New Roman" w:eastAsia="仿宋_GB2312" w:cs="Times New Roman"/>
                <w:sz w:val="28"/>
                <w:szCs w:val="28"/>
              </w:rPr>
              <w:t>hnggzyzfcg@163.com</w:t>
            </w:r>
            <w:r>
              <w:rPr>
                <w:rStyle w:val="62"/>
                <w:rFonts w:ascii="仿宋_GB2312" w:hAnsi="Times New Roman" w:eastAsia="仿宋_GB2312" w:cs="Times New Roman"/>
                <w:sz w:val="28"/>
                <w:szCs w:val="28"/>
              </w:rPr>
              <w:fldChar w:fldCharType="end"/>
            </w:r>
          </w:p>
        </w:tc>
      </w:tr>
      <w:tr w14:paraId="1DFE9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52" w:type="dxa"/>
            <w:vAlign w:val="center"/>
          </w:tcPr>
          <w:p w14:paraId="6207572D">
            <w:pPr>
              <w:spacing w:after="0" w:line="360" w:lineRule="auto"/>
              <w:jc w:val="center"/>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2.6.1</w:t>
            </w:r>
          </w:p>
        </w:tc>
        <w:tc>
          <w:tcPr>
            <w:tcW w:w="7751" w:type="dxa"/>
            <w:vAlign w:val="center"/>
          </w:tcPr>
          <w:p w14:paraId="03618AC8">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是否为专门面向中小企业采购：</w:t>
            </w:r>
            <w:r>
              <w:rPr>
                <w:rFonts w:ascii="仿宋_GB2312" w:hAnsi="Times New Roman" w:eastAsia="仿宋_GB2312" w:cs="Times New Roman"/>
                <w:b/>
                <w:bCs/>
                <w:color w:val="auto"/>
                <w:sz w:val="28"/>
                <w:szCs w:val="28"/>
                <w:lang w:val="en-US" w:eastAsia="zh-CN"/>
              </w:rPr>
              <w:t xml:space="preserve">否 </w:t>
            </w:r>
          </w:p>
        </w:tc>
      </w:tr>
      <w:tr w14:paraId="31332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7" w:hRule="atLeast"/>
        </w:trPr>
        <w:tc>
          <w:tcPr>
            <w:tcW w:w="952" w:type="dxa"/>
            <w:vAlign w:val="center"/>
          </w:tcPr>
          <w:p w14:paraId="07AB6403">
            <w:pPr>
              <w:spacing w:after="0" w:line="360" w:lineRule="auto"/>
              <w:jc w:val="center"/>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2.6.2</w:t>
            </w:r>
          </w:p>
        </w:tc>
        <w:tc>
          <w:tcPr>
            <w:tcW w:w="7751" w:type="dxa"/>
            <w:vAlign w:val="center"/>
          </w:tcPr>
          <w:p w14:paraId="2595EC39">
            <w:pPr>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是否允许采购进口产品：</w:t>
            </w:r>
            <w:r>
              <w:rPr>
                <w:rFonts w:ascii="仿宋_GB2312" w:hAnsi="Times New Roman" w:eastAsia="仿宋_GB2312" w:cs="Times New Roman"/>
                <w:b/>
                <w:bCs/>
                <w:color w:val="auto"/>
                <w:sz w:val="28"/>
                <w:szCs w:val="28"/>
                <w:lang w:val="en-US" w:eastAsia="zh-CN"/>
              </w:rPr>
              <w:t>否</w:t>
            </w:r>
          </w:p>
        </w:tc>
      </w:tr>
      <w:tr w14:paraId="23F2F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52" w:type="dxa"/>
            <w:vAlign w:val="center"/>
          </w:tcPr>
          <w:p w14:paraId="5290370A">
            <w:pPr>
              <w:spacing w:after="0" w:line="360" w:lineRule="auto"/>
              <w:jc w:val="center"/>
              <w:rPr>
                <w:rFonts w:hint="default" w:ascii="仿宋_GB2312" w:hAnsi="Times New Roman" w:eastAsia="仿宋_GB2312" w:cs="Times New Roman"/>
                <w:color w:val="auto"/>
                <w:sz w:val="28"/>
                <w:szCs w:val="28"/>
              </w:rPr>
            </w:pPr>
            <w:r>
              <w:rPr>
                <w:rFonts w:ascii="仿宋_GB2312" w:hAnsi="Times New Roman" w:eastAsia="仿宋_GB2312" w:cs="Times New Roman"/>
                <w:color w:val="auto"/>
                <w:sz w:val="28"/>
                <w:szCs w:val="28"/>
              </w:rPr>
              <w:t>4</w:t>
            </w:r>
          </w:p>
        </w:tc>
        <w:tc>
          <w:tcPr>
            <w:tcW w:w="7751" w:type="dxa"/>
            <w:vAlign w:val="center"/>
          </w:tcPr>
          <w:p w14:paraId="6D14C819">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踏勘现场：</w:t>
            </w:r>
          </w:p>
          <w:p w14:paraId="5DB5EAE8">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b/>
                <w:bCs/>
                <w:color w:val="auto"/>
                <w:sz w:val="28"/>
                <w:szCs w:val="28"/>
              </w:rPr>
              <w:fldChar w:fldCharType="begin"/>
            </w:r>
            <w:r>
              <w:rPr>
                <w:rFonts w:ascii="仿宋_GB2312" w:hAnsi="Times New Roman" w:eastAsia="仿宋_GB2312" w:cs="Times New Roman"/>
                <w:b/>
                <w:bCs/>
                <w:color w:val="auto"/>
                <w:sz w:val="28"/>
                <w:szCs w:val="28"/>
                <w:lang w:eastAsia="zh-CN"/>
              </w:rPr>
              <w:instrText xml:space="preserve"> eq \o\ac(</w:instrText>
            </w:r>
            <w:r>
              <w:rPr>
                <w:rFonts w:ascii="仿宋_GB2312" w:hAnsi="Times New Roman" w:eastAsia="仿宋_GB2312" w:cs="Times New Roman"/>
                <w:b/>
                <w:bCs/>
                <w:color w:val="auto"/>
                <w:position w:val="-4"/>
                <w:sz w:val="28"/>
                <w:szCs w:val="28"/>
                <w:lang w:eastAsia="zh-CN"/>
              </w:rPr>
              <w:instrText xml:space="preserve">□,</w:instrText>
            </w:r>
            <w:r>
              <w:rPr>
                <w:rFonts w:ascii="仿宋_GB2312" w:hAnsi="Times New Roman" w:eastAsia="仿宋_GB2312" w:cs="Times New Roman"/>
                <w:b/>
                <w:bCs/>
                <w:color w:val="auto"/>
                <w:sz w:val="19"/>
                <w:szCs w:val="28"/>
                <w:lang w:eastAsia="zh-CN"/>
              </w:rPr>
              <w:instrText xml:space="preserve">√</w:instrText>
            </w:r>
            <w:r>
              <w:rPr>
                <w:rFonts w:ascii="仿宋_GB2312" w:hAnsi="Times New Roman" w:eastAsia="仿宋_GB2312" w:cs="Times New Roman"/>
                <w:b/>
                <w:bCs/>
                <w:color w:val="auto"/>
                <w:sz w:val="28"/>
                <w:szCs w:val="28"/>
                <w:lang w:eastAsia="zh-CN"/>
              </w:rPr>
              <w:instrText xml:space="preserve">)</w:instrText>
            </w:r>
            <w:r>
              <w:rPr>
                <w:rFonts w:ascii="仿宋_GB2312" w:hAnsi="Times New Roman" w:eastAsia="仿宋_GB2312" w:cs="Times New Roman"/>
                <w:b/>
                <w:bCs/>
                <w:color w:val="auto"/>
                <w:sz w:val="28"/>
                <w:szCs w:val="28"/>
              </w:rPr>
              <w:fldChar w:fldCharType="end"/>
            </w:r>
            <w:r>
              <w:rPr>
                <w:rFonts w:ascii="仿宋_GB2312" w:hAnsi="Times New Roman" w:eastAsia="仿宋_GB2312" w:cs="Times New Roman"/>
                <w:b/>
                <w:bCs/>
                <w:color w:val="auto"/>
                <w:sz w:val="28"/>
                <w:szCs w:val="28"/>
                <w:lang w:eastAsia="zh-CN"/>
              </w:rPr>
              <w:t>不组织</w:t>
            </w:r>
            <w:r>
              <w:rPr>
                <w:rFonts w:ascii="仿宋_GB2312" w:hAnsi="Times New Roman" w:eastAsia="仿宋_GB2312" w:cs="Times New Roman"/>
                <w:color w:val="auto"/>
                <w:sz w:val="28"/>
                <w:szCs w:val="28"/>
                <w:lang w:eastAsia="zh-CN"/>
              </w:rPr>
              <w:t>，投标人可自行对项目现场和周围环境进行踏勘，踏勘现场所发生的费用由投标人自己承担。出现事故，责任由投标人自行承担。</w:t>
            </w:r>
          </w:p>
          <w:p w14:paraId="2DC1725F">
            <w:pPr>
              <w:spacing w:after="0" w:line="360" w:lineRule="auto"/>
              <w:rPr>
                <w:rFonts w:hint="default" w:ascii="仿宋_GB2312" w:hAnsi="Times New Roman" w:eastAsia="仿宋_GB2312" w:cs="Times New Roman"/>
                <w:color w:val="auto"/>
                <w:sz w:val="28"/>
                <w:szCs w:val="28"/>
                <w:u w:val="single"/>
                <w:lang w:eastAsia="zh-CN"/>
              </w:rPr>
            </w:pPr>
            <w:r>
              <w:rPr>
                <w:rFonts w:ascii="仿宋_GB2312" w:hAnsi="Times New Roman" w:eastAsia="仿宋_GB2312" w:cs="Times New Roman"/>
                <w:b/>
                <w:bCs/>
                <w:color w:val="auto"/>
                <w:sz w:val="28"/>
                <w:szCs w:val="28"/>
              </w:rPr>
              <w:fldChar w:fldCharType="begin"/>
            </w:r>
            <w:r>
              <w:rPr>
                <w:rFonts w:ascii="仿宋_GB2312" w:hAnsi="Times New Roman" w:eastAsia="仿宋_GB2312" w:cs="Times New Roman"/>
                <w:b/>
                <w:bCs/>
                <w:color w:val="auto"/>
                <w:sz w:val="28"/>
                <w:szCs w:val="28"/>
                <w:lang w:eastAsia="zh-CN"/>
              </w:rPr>
              <w:instrText xml:space="preserve"> eq \o\ac(</w:instrText>
            </w:r>
            <w:r>
              <w:rPr>
                <w:rFonts w:ascii="仿宋_GB2312" w:hAnsi="Times New Roman" w:eastAsia="仿宋_GB2312" w:cs="Times New Roman"/>
                <w:b/>
                <w:bCs/>
                <w:color w:val="auto"/>
                <w:position w:val="-4"/>
                <w:sz w:val="28"/>
                <w:szCs w:val="28"/>
                <w:lang w:eastAsia="zh-CN"/>
              </w:rPr>
              <w:instrText xml:space="preserve">□</w:instrText>
            </w:r>
            <w:r>
              <w:rPr>
                <w:rFonts w:ascii="仿宋_GB2312" w:hAnsi="Times New Roman" w:eastAsia="仿宋_GB2312" w:cs="Times New Roman"/>
                <w:b/>
                <w:bCs/>
                <w:color w:val="auto"/>
                <w:sz w:val="28"/>
                <w:szCs w:val="28"/>
                <w:lang w:eastAsia="zh-CN"/>
              </w:rPr>
              <w:instrText xml:space="preserve">)</w:instrText>
            </w:r>
            <w:r>
              <w:rPr>
                <w:rFonts w:ascii="仿宋_GB2312" w:hAnsi="Times New Roman" w:eastAsia="仿宋_GB2312" w:cs="Times New Roman"/>
                <w:b/>
                <w:bCs/>
                <w:color w:val="auto"/>
                <w:sz w:val="28"/>
                <w:szCs w:val="28"/>
              </w:rPr>
              <w:fldChar w:fldCharType="end"/>
            </w:r>
            <w:r>
              <w:rPr>
                <w:rFonts w:ascii="仿宋_GB2312" w:hAnsi="Times New Roman" w:eastAsia="仿宋_GB2312" w:cs="Times New Roman"/>
                <w:b/>
                <w:bCs/>
                <w:color w:val="auto"/>
                <w:sz w:val="28"/>
                <w:szCs w:val="28"/>
                <w:lang w:eastAsia="zh-CN"/>
              </w:rPr>
              <w:t>组织</w:t>
            </w:r>
            <w:r>
              <w:rPr>
                <w:rFonts w:ascii="仿宋_GB2312" w:hAnsi="Times New Roman" w:eastAsia="仿宋_GB2312" w:cs="Times New Roman"/>
                <w:color w:val="auto"/>
                <w:sz w:val="28"/>
                <w:szCs w:val="28"/>
                <w:lang w:eastAsia="zh-CN"/>
              </w:rPr>
              <w:t>，踏勘时间：</w:t>
            </w:r>
            <w:r>
              <w:rPr>
                <w:rFonts w:ascii="仿宋_GB2312" w:hAnsi="Times New Roman" w:eastAsia="仿宋_GB2312" w:cs="Times New Roman"/>
                <w:color w:val="auto"/>
                <w:sz w:val="28"/>
                <w:szCs w:val="28"/>
                <w:u w:val="single"/>
                <w:lang w:eastAsia="zh-CN"/>
              </w:rPr>
              <w:t xml:space="preserve">  /  </w:t>
            </w:r>
          </w:p>
          <w:p w14:paraId="5EA1BFEF">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 xml:space="preserve">        踏勘集中地点：</w:t>
            </w:r>
            <w:r>
              <w:rPr>
                <w:rFonts w:ascii="仿宋_GB2312" w:hAnsi="Times New Roman" w:eastAsia="仿宋_GB2312" w:cs="Times New Roman"/>
                <w:color w:val="auto"/>
                <w:sz w:val="28"/>
                <w:szCs w:val="28"/>
                <w:u w:val="single"/>
                <w:lang w:eastAsia="zh-CN"/>
              </w:rPr>
              <w:t xml:space="preserve">  /  </w:t>
            </w:r>
          </w:p>
        </w:tc>
      </w:tr>
      <w:tr w14:paraId="4F059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2" w:hRule="atLeast"/>
        </w:trPr>
        <w:tc>
          <w:tcPr>
            <w:tcW w:w="952" w:type="dxa"/>
            <w:vAlign w:val="center"/>
          </w:tcPr>
          <w:p w14:paraId="2D694237">
            <w:pPr>
              <w:spacing w:after="0" w:line="360" w:lineRule="auto"/>
              <w:jc w:val="center"/>
              <w:rPr>
                <w:rFonts w:hint="default" w:ascii="仿宋_GB2312" w:hAnsi="Times New Roman" w:eastAsia="仿宋_GB2312" w:cs="Times New Roman"/>
                <w:color w:val="auto"/>
                <w:sz w:val="28"/>
                <w:szCs w:val="28"/>
                <w:lang w:val="en" w:eastAsia="zh-CN"/>
              </w:rPr>
            </w:pPr>
            <w:r>
              <w:rPr>
                <w:rFonts w:ascii="仿宋_GB2312" w:hAnsi="Times New Roman" w:eastAsia="仿宋_GB2312" w:cs="Times New Roman"/>
                <w:color w:val="auto"/>
                <w:sz w:val="28"/>
                <w:szCs w:val="28"/>
                <w:lang w:val="en" w:eastAsia="zh-CN"/>
              </w:rPr>
              <w:t>6.6</w:t>
            </w:r>
          </w:p>
        </w:tc>
        <w:tc>
          <w:tcPr>
            <w:tcW w:w="7751" w:type="dxa"/>
            <w:vAlign w:val="center"/>
          </w:tcPr>
          <w:p w14:paraId="45E5F4B5">
            <w:pPr>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是否允许联合体投标：</w:t>
            </w:r>
            <w:r>
              <w:rPr>
                <w:rFonts w:ascii="仿宋_GB2312" w:hAnsi="Times New Roman" w:eastAsia="仿宋_GB2312" w:cs="Times New Roman"/>
                <w:b/>
                <w:bCs/>
                <w:color w:val="auto"/>
                <w:sz w:val="28"/>
                <w:szCs w:val="28"/>
                <w:lang w:val="en-US" w:eastAsia="zh-CN"/>
              </w:rPr>
              <w:t>否</w:t>
            </w:r>
          </w:p>
        </w:tc>
      </w:tr>
      <w:tr w14:paraId="4A4E6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19" w:hRule="atLeast"/>
        </w:trPr>
        <w:tc>
          <w:tcPr>
            <w:tcW w:w="952" w:type="dxa"/>
            <w:vAlign w:val="center"/>
          </w:tcPr>
          <w:p w14:paraId="7232E844">
            <w:pPr>
              <w:spacing w:after="0" w:line="360" w:lineRule="auto"/>
              <w:jc w:val="center"/>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16</w:t>
            </w:r>
          </w:p>
        </w:tc>
        <w:tc>
          <w:tcPr>
            <w:tcW w:w="7751" w:type="dxa"/>
            <w:vAlign w:val="center"/>
          </w:tcPr>
          <w:p w14:paraId="5272B4D4">
            <w:pPr>
              <w:widowControl w:val="0"/>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如投标人对多个分包进行投标，按照分包顺序可以中标：</w:t>
            </w:r>
            <w:r>
              <w:rPr>
                <w:rFonts w:ascii="仿宋_GB2312" w:hAnsi="Times New Roman" w:eastAsia="仿宋_GB2312" w:cs="Times New Roman"/>
                <w:b/>
                <w:bCs/>
                <w:color w:val="auto"/>
                <w:sz w:val="28"/>
                <w:szCs w:val="28"/>
                <w:lang w:val="en-US" w:eastAsia="zh-CN"/>
              </w:rPr>
              <w:sym w:font="Wingdings 2" w:char="00A3"/>
            </w:r>
            <w:r>
              <w:rPr>
                <w:rFonts w:ascii="仿宋_GB2312" w:hAnsi="Times New Roman" w:eastAsia="仿宋_GB2312" w:cs="Times New Roman"/>
                <w:b/>
                <w:bCs/>
                <w:color w:val="auto"/>
                <w:sz w:val="28"/>
                <w:szCs w:val="28"/>
                <w:lang w:val="en-US" w:eastAsia="zh-CN"/>
              </w:rPr>
              <w:t xml:space="preserve">多个包   </w:t>
            </w:r>
            <w:r>
              <w:rPr>
                <w:rFonts w:ascii="仿宋_GB2312" w:hAnsi="Times New Roman" w:eastAsia="仿宋_GB2312" w:cs="Times New Roman"/>
                <w:b/>
                <w:bCs/>
                <w:color w:val="auto"/>
                <w:sz w:val="28"/>
                <w:szCs w:val="28"/>
                <w:lang w:val="en-US" w:eastAsia="zh-CN"/>
              </w:rPr>
              <w:sym w:font="Wingdings 2" w:char="0052"/>
            </w:r>
            <w:r>
              <w:rPr>
                <w:rFonts w:ascii="仿宋_GB2312" w:hAnsi="Times New Roman" w:eastAsia="仿宋_GB2312" w:cs="Times New Roman"/>
                <w:b/>
                <w:bCs/>
                <w:color w:val="auto"/>
                <w:sz w:val="28"/>
                <w:szCs w:val="28"/>
                <w:lang w:val="en-US" w:eastAsia="zh-CN"/>
              </w:rPr>
              <w:t>一个包</w:t>
            </w:r>
          </w:p>
        </w:tc>
      </w:tr>
      <w:tr w14:paraId="70A28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1" w:hRule="atLeast"/>
        </w:trPr>
        <w:tc>
          <w:tcPr>
            <w:tcW w:w="952" w:type="dxa"/>
            <w:vAlign w:val="center"/>
          </w:tcPr>
          <w:p w14:paraId="26BE7CC8">
            <w:pPr>
              <w:spacing w:after="0" w:line="360" w:lineRule="auto"/>
              <w:jc w:val="center"/>
              <w:rPr>
                <w:rFonts w:hint="default" w:ascii="仿宋_GB2312" w:hAnsi="Times New Roman" w:eastAsia="仿宋_GB2312" w:cs="Times New Roman"/>
                <w:strike/>
                <w:color w:val="auto"/>
                <w:sz w:val="28"/>
                <w:szCs w:val="28"/>
              </w:rPr>
            </w:pPr>
            <w:r>
              <w:rPr>
                <w:rFonts w:ascii="仿宋_GB2312" w:hAnsi="Times New Roman" w:eastAsia="仿宋_GB2312" w:cs="Times New Roman"/>
                <w:color w:val="auto"/>
                <w:sz w:val="28"/>
                <w:szCs w:val="28"/>
                <w:lang w:val="en-US" w:eastAsia="zh-CN"/>
              </w:rPr>
              <w:t>17.2</w:t>
            </w:r>
          </w:p>
        </w:tc>
        <w:tc>
          <w:tcPr>
            <w:tcW w:w="7751" w:type="dxa"/>
            <w:vAlign w:val="center"/>
          </w:tcPr>
          <w:p w14:paraId="72A785B9">
            <w:pPr>
              <w:spacing w:after="0" w:line="360" w:lineRule="auto"/>
              <w:rPr>
                <w:rFonts w:hint="default" w:ascii="仿宋_GB2312" w:hAnsi="Times New Roman" w:eastAsia="仿宋_GB2312" w:cs="Times New Roman"/>
                <w:strike/>
                <w:color w:val="auto"/>
                <w:sz w:val="28"/>
                <w:szCs w:val="28"/>
                <w:lang w:eastAsia="zh-CN"/>
              </w:rPr>
            </w:pPr>
            <w:r>
              <w:rPr>
                <w:rFonts w:ascii="仿宋_GB2312" w:hAnsi="Times New Roman" w:eastAsia="仿宋_GB2312" w:cs="Times New Roman"/>
                <w:color w:val="auto"/>
                <w:sz w:val="28"/>
                <w:szCs w:val="28"/>
                <w:lang w:eastAsia="zh-CN"/>
              </w:rPr>
              <w:t>资格审查内容：须上传到“资格审查材料”中。</w:t>
            </w:r>
          </w:p>
        </w:tc>
      </w:tr>
      <w:tr w14:paraId="7F28A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1ED3E481">
            <w:pPr>
              <w:spacing w:after="0" w:line="360" w:lineRule="auto"/>
              <w:jc w:val="center"/>
              <w:rPr>
                <w:rFonts w:hint="default" w:ascii="仿宋_GB2312" w:hAnsi="Times New Roman" w:eastAsia="仿宋_GB2312" w:cs="Times New Roman"/>
                <w:color w:val="auto"/>
                <w:sz w:val="28"/>
                <w:szCs w:val="28"/>
              </w:rPr>
            </w:pPr>
            <w:r>
              <w:rPr>
                <w:rFonts w:ascii="仿宋_GB2312" w:hAnsi="Times New Roman" w:eastAsia="仿宋_GB2312" w:cs="Times New Roman"/>
                <w:color w:val="auto"/>
                <w:sz w:val="28"/>
                <w:szCs w:val="28"/>
              </w:rPr>
              <w:t>18.3</w:t>
            </w:r>
          </w:p>
        </w:tc>
        <w:tc>
          <w:tcPr>
            <w:tcW w:w="7751" w:type="dxa"/>
            <w:vAlign w:val="center"/>
          </w:tcPr>
          <w:p w14:paraId="39996AF2">
            <w:pPr>
              <w:pStyle w:val="17"/>
              <w:spacing w:after="0" w:line="360" w:lineRule="auto"/>
              <w:jc w:val="both"/>
              <w:rPr>
                <w:rFonts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（1）投标报价：货物和附属装置、备品备件和专用工具、卖方技术服务（安装、调试、运行）报价、采购人派员参加技术联络和工厂监造、检验、技术培训费用、运保费、各类税费及验收检测费等一切费用。</w:t>
            </w:r>
          </w:p>
          <w:p w14:paraId="42D86F9E">
            <w:pPr>
              <w:spacing w:after="0" w:line="360" w:lineRule="auto"/>
              <w:rPr>
                <w:rFonts w:hint="default" w:ascii="仿宋_GB2312" w:hAnsi="Times New Roman" w:eastAsia="仿宋_GB2312" w:cs="Times New Roman"/>
                <w:bCs/>
                <w:color w:val="auto"/>
                <w:sz w:val="28"/>
                <w:szCs w:val="28"/>
                <w:lang w:eastAsia="zh-CN"/>
              </w:rPr>
            </w:pPr>
            <w:r>
              <w:rPr>
                <w:rFonts w:ascii="仿宋_GB2312" w:hAnsi="Times New Roman" w:eastAsia="仿宋_GB2312" w:cs="Times New Roman"/>
                <w:color w:val="auto"/>
                <w:sz w:val="28"/>
                <w:szCs w:val="28"/>
                <w:lang w:eastAsia="zh-CN"/>
              </w:rPr>
              <w:t>（</w:t>
            </w:r>
            <w:r>
              <w:rPr>
                <w:rFonts w:ascii="仿宋_GB2312" w:hAnsi="Times New Roman" w:eastAsia="仿宋_GB2312" w:cs="Times New Roman"/>
                <w:color w:val="auto"/>
                <w:sz w:val="28"/>
                <w:szCs w:val="28"/>
                <w:lang w:val="en-US" w:eastAsia="zh-CN"/>
              </w:rPr>
              <w:t>2</w:t>
            </w:r>
            <w:r>
              <w:rPr>
                <w:rFonts w:ascii="仿宋_GB2312" w:hAnsi="Times New Roman" w:eastAsia="仿宋_GB2312" w:cs="Times New Roman"/>
                <w:color w:val="auto"/>
                <w:sz w:val="28"/>
                <w:szCs w:val="28"/>
                <w:lang w:eastAsia="zh-CN"/>
              </w:rPr>
              <w:t>）</w:t>
            </w:r>
            <w:r>
              <w:rPr>
                <w:rFonts w:ascii="仿宋_GB2312" w:hAnsi="Times New Roman" w:eastAsia="仿宋_GB2312" w:cs="Times New Roman"/>
                <w:bCs/>
                <w:color w:val="auto"/>
                <w:sz w:val="28"/>
                <w:szCs w:val="28"/>
                <w:lang w:eastAsia="zh-CN"/>
              </w:rPr>
              <w:t>投标报价超过</w:t>
            </w:r>
            <w:r>
              <w:rPr>
                <w:rFonts w:ascii="仿宋_GB2312" w:hAnsi="Times New Roman" w:eastAsia="仿宋_GB2312" w:cs="Times New Roman"/>
                <w:bCs/>
                <w:color w:val="auto"/>
                <w:kern w:val="0"/>
                <w:sz w:val="28"/>
                <w:szCs w:val="28"/>
                <w:lang w:eastAsia="zh-CN"/>
              </w:rPr>
              <w:t>最高限价</w:t>
            </w:r>
            <w:r>
              <w:rPr>
                <w:rFonts w:ascii="仿宋_GB2312" w:hAnsi="Times New Roman" w:eastAsia="仿宋_GB2312" w:cs="Times New Roman"/>
                <w:bCs/>
                <w:color w:val="auto"/>
                <w:sz w:val="28"/>
                <w:szCs w:val="28"/>
                <w:lang w:eastAsia="zh-CN"/>
              </w:rPr>
              <w:t>的按无效投标处理。</w:t>
            </w:r>
          </w:p>
        </w:tc>
      </w:tr>
      <w:tr w14:paraId="15AC7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5" w:hRule="atLeast"/>
        </w:trPr>
        <w:tc>
          <w:tcPr>
            <w:tcW w:w="952" w:type="dxa"/>
            <w:vAlign w:val="center"/>
          </w:tcPr>
          <w:p w14:paraId="23D0EA09">
            <w:pPr>
              <w:spacing w:after="0" w:line="360" w:lineRule="auto"/>
              <w:jc w:val="center"/>
              <w:rPr>
                <w:rFonts w:hint="default" w:ascii="仿宋_GB2312" w:hAnsi="Times New Roman" w:eastAsia="仿宋_GB2312" w:cs="Times New Roman"/>
                <w:color w:val="auto"/>
                <w:sz w:val="28"/>
                <w:szCs w:val="28"/>
              </w:rPr>
            </w:pPr>
            <w:r>
              <w:rPr>
                <w:rFonts w:ascii="仿宋_GB2312" w:hAnsi="Times New Roman" w:eastAsia="仿宋_GB2312" w:cs="Times New Roman"/>
                <w:snapToGrid w:val="0"/>
                <w:color w:val="auto"/>
                <w:sz w:val="28"/>
                <w:szCs w:val="28"/>
              </w:rPr>
              <w:t>19</w:t>
            </w:r>
          </w:p>
        </w:tc>
        <w:tc>
          <w:tcPr>
            <w:tcW w:w="7751" w:type="dxa"/>
            <w:vAlign w:val="center"/>
          </w:tcPr>
          <w:p w14:paraId="150346E7">
            <w:pPr>
              <w:spacing w:after="0" w:line="360" w:lineRule="auto"/>
              <w:rPr>
                <w:rFonts w:hint="default" w:ascii="仿宋_GB2312" w:hAnsi="Times New Roman" w:eastAsia="仿宋_GB2312" w:cs="Times New Roman"/>
                <w:color w:val="auto"/>
                <w:sz w:val="28"/>
                <w:szCs w:val="28"/>
                <w:u w:val="single"/>
              </w:rPr>
            </w:pPr>
            <w:r>
              <w:rPr>
                <w:rFonts w:ascii="仿宋_GB2312" w:hAnsi="Times New Roman" w:eastAsia="仿宋_GB2312" w:cs="Times New Roman"/>
                <w:color w:val="auto"/>
                <w:sz w:val="28"/>
                <w:szCs w:val="28"/>
              </w:rPr>
              <w:t>投标货币：人民币。</w:t>
            </w:r>
          </w:p>
        </w:tc>
      </w:tr>
      <w:tr w14:paraId="72088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90" w:hRule="atLeast"/>
        </w:trPr>
        <w:tc>
          <w:tcPr>
            <w:tcW w:w="952" w:type="dxa"/>
            <w:vAlign w:val="center"/>
          </w:tcPr>
          <w:p w14:paraId="4F241A2D">
            <w:pPr>
              <w:spacing w:after="0" w:line="360" w:lineRule="auto"/>
              <w:jc w:val="center"/>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20</w:t>
            </w:r>
          </w:p>
        </w:tc>
        <w:tc>
          <w:tcPr>
            <w:tcW w:w="7751" w:type="dxa"/>
            <w:vAlign w:val="center"/>
          </w:tcPr>
          <w:p w14:paraId="4A61C561">
            <w:pPr>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投标人资格证明文件：</w:t>
            </w:r>
          </w:p>
          <w:p w14:paraId="03F9FF74">
            <w:pPr>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（1）法人或者其他组织的营业执照等证明文件或自然人的身份证明；</w:t>
            </w:r>
          </w:p>
          <w:p w14:paraId="59DD9FEC">
            <w:pPr>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（2）</w:t>
            </w:r>
            <w:r>
              <w:rPr>
                <w:rFonts w:ascii="仿宋_GB2312" w:hAnsi="Times New Roman" w:eastAsia="仿宋_GB2312" w:cs="Times New Roman"/>
                <w:color w:val="auto"/>
                <w:sz w:val="28"/>
                <w:szCs w:val="28"/>
                <w:lang w:val="en" w:eastAsia="zh-CN"/>
              </w:rPr>
              <w:t>2023</w:t>
            </w:r>
            <w:r>
              <w:rPr>
                <w:rFonts w:ascii="仿宋_GB2312" w:hAnsi="Times New Roman" w:eastAsia="仿宋_GB2312" w:cs="Times New Roman"/>
                <w:color w:val="auto"/>
                <w:sz w:val="28"/>
                <w:szCs w:val="28"/>
                <w:lang w:val="en-US" w:eastAsia="zh-CN"/>
              </w:rPr>
              <w:t>年度财务审计报告扫描件（要求注册会计师签字并加盖会计师印章）；</w:t>
            </w:r>
          </w:p>
          <w:p w14:paraId="17B59DA8">
            <w:pPr>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（3）依法缴纳税收和社会保障资金的相关材料（提供自</w:t>
            </w:r>
            <w:r>
              <w:rPr>
                <w:rFonts w:ascii="仿宋_GB2312" w:hAnsi="Times New Roman" w:eastAsia="仿宋_GB2312" w:cs="Times New Roman"/>
                <w:color w:val="auto"/>
                <w:sz w:val="28"/>
                <w:szCs w:val="28"/>
                <w:lang w:val="en" w:eastAsia="zh-CN"/>
              </w:rPr>
              <w:t>2024年1月1日</w:t>
            </w:r>
            <w:r>
              <w:rPr>
                <w:rFonts w:ascii="仿宋_GB2312" w:hAnsi="Times New Roman" w:eastAsia="仿宋_GB2312" w:cs="Times New Roman"/>
                <w:color w:val="auto"/>
                <w:sz w:val="28"/>
                <w:szCs w:val="28"/>
                <w:lang w:val="en-US" w:eastAsia="zh-CN"/>
              </w:rPr>
              <w:t>以来至少一个月的纳税证明和社保缴纳证明，依法免税或不需要缴纳社会保障资金的，应提供相应文件证明其依法免税或不需要缴纳）。</w:t>
            </w:r>
          </w:p>
          <w:p w14:paraId="4F7FCCE8">
            <w:pPr>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（4）具备履行合同所必需的设备和专业技术能力；</w:t>
            </w:r>
          </w:p>
          <w:p w14:paraId="4F3C926B">
            <w:pPr>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（5）参加政府采购活动前3年内在经营活动中没有重大违法记录的书面声明。</w:t>
            </w:r>
          </w:p>
          <w:p w14:paraId="1E9112C1">
            <w:pPr>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（以上要求中，如有投标人成立时限不足要求时限的，由投标人根据自身成立时间提供证明资料。）</w:t>
            </w:r>
          </w:p>
        </w:tc>
      </w:tr>
      <w:tr w14:paraId="16598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89" w:hRule="atLeast"/>
        </w:trPr>
        <w:tc>
          <w:tcPr>
            <w:tcW w:w="952" w:type="dxa"/>
            <w:vAlign w:val="center"/>
          </w:tcPr>
          <w:p w14:paraId="38B7AF8F">
            <w:pPr>
              <w:spacing w:after="0" w:line="360" w:lineRule="auto"/>
              <w:jc w:val="center"/>
              <w:rPr>
                <w:rFonts w:hint="default" w:ascii="仿宋_GB2312" w:hAnsi="Times New Roman" w:eastAsia="仿宋_GB2312" w:cs="Times New Roman"/>
                <w:color w:val="auto"/>
                <w:sz w:val="28"/>
                <w:szCs w:val="28"/>
              </w:rPr>
            </w:pPr>
            <w:r>
              <w:rPr>
                <w:rFonts w:ascii="仿宋_GB2312" w:hAnsi="Times New Roman" w:eastAsia="仿宋_GB2312" w:cs="Times New Roman"/>
                <w:color w:val="auto"/>
                <w:sz w:val="28"/>
                <w:szCs w:val="28"/>
              </w:rPr>
              <w:t>2</w:t>
            </w:r>
            <w:r>
              <w:rPr>
                <w:rFonts w:ascii="仿宋_GB2312" w:hAnsi="Times New Roman" w:eastAsia="仿宋_GB2312" w:cs="Times New Roman"/>
                <w:color w:val="auto"/>
                <w:sz w:val="28"/>
                <w:szCs w:val="28"/>
                <w:lang w:val="en-US" w:eastAsia="zh-CN"/>
              </w:rPr>
              <w:t>4</w:t>
            </w:r>
            <w:r>
              <w:rPr>
                <w:rFonts w:ascii="仿宋_GB2312" w:hAnsi="Times New Roman" w:eastAsia="仿宋_GB2312" w:cs="Times New Roman"/>
                <w:color w:val="auto"/>
                <w:sz w:val="28"/>
                <w:szCs w:val="28"/>
              </w:rPr>
              <w:t>.1</w:t>
            </w:r>
          </w:p>
        </w:tc>
        <w:tc>
          <w:tcPr>
            <w:tcW w:w="7751" w:type="dxa"/>
            <w:vAlign w:val="center"/>
          </w:tcPr>
          <w:p w14:paraId="62AEE236">
            <w:pPr>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b/>
                <w:bCs/>
                <w:color w:val="auto"/>
                <w:sz w:val="28"/>
                <w:szCs w:val="28"/>
                <w:lang w:eastAsia="zh-CN"/>
              </w:rPr>
              <w:t>投标有效期</w:t>
            </w:r>
            <w:r>
              <w:rPr>
                <w:rFonts w:ascii="仿宋_GB2312" w:hAnsi="Times New Roman" w:eastAsia="仿宋_GB2312" w:cs="Times New Roman"/>
                <w:color w:val="auto"/>
                <w:sz w:val="28"/>
                <w:szCs w:val="28"/>
                <w:lang w:eastAsia="zh-CN"/>
              </w:rPr>
              <w:t>：从投标截止之日起60</w:t>
            </w:r>
            <w:r>
              <w:rPr>
                <w:rFonts w:ascii="仿宋_GB2312" w:hAnsi="Times New Roman" w:eastAsia="仿宋_GB2312" w:cs="Times New Roman"/>
                <w:color w:val="auto"/>
                <w:sz w:val="28"/>
                <w:szCs w:val="28"/>
                <w:lang w:val="en-US" w:eastAsia="zh-CN"/>
              </w:rPr>
              <w:t>天</w:t>
            </w:r>
          </w:p>
        </w:tc>
      </w:tr>
      <w:tr w14:paraId="4B1EB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1C55853C">
            <w:pPr>
              <w:spacing w:after="0" w:line="360" w:lineRule="auto"/>
              <w:jc w:val="center"/>
              <w:rPr>
                <w:rFonts w:hint="default" w:ascii="仿宋_GB2312" w:hAnsi="Times New Roman" w:eastAsia="仿宋_GB2312" w:cs="Times New Roman"/>
                <w:color w:val="auto"/>
                <w:sz w:val="28"/>
                <w:szCs w:val="28"/>
              </w:rPr>
            </w:pPr>
            <w:r>
              <w:rPr>
                <w:rFonts w:ascii="仿宋_GB2312" w:hAnsi="Times New Roman" w:eastAsia="仿宋_GB2312" w:cs="Times New Roman"/>
                <w:color w:val="auto"/>
                <w:sz w:val="28"/>
                <w:szCs w:val="28"/>
              </w:rPr>
              <w:t>2</w:t>
            </w:r>
            <w:r>
              <w:rPr>
                <w:rFonts w:ascii="仿宋_GB2312" w:hAnsi="Times New Roman" w:eastAsia="仿宋_GB2312" w:cs="Times New Roman"/>
                <w:color w:val="auto"/>
                <w:sz w:val="28"/>
                <w:szCs w:val="28"/>
                <w:lang w:val="en-US" w:eastAsia="zh-CN"/>
              </w:rPr>
              <w:t>6</w:t>
            </w:r>
            <w:r>
              <w:rPr>
                <w:rFonts w:ascii="仿宋_GB2312" w:hAnsi="Times New Roman" w:eastAsia="仿宋_GB2312" w:cs="Times New Roman"/>
                <w:color w:val="auto"/>
                <w:sz w:val="28"/>
                <w:szCs w:val="28"/>
              </w:rPr>
              <w:t>.1</w:t>
            </w:r>
          </w:p>
        </w:tc>
        <w:tc>
          <w:tcPr>
            <w:tcW w:w="7751" w:type="dxa"/>
            <w:vAlign w:val="center"/>
          </w:tcPr>
          <w:p w14:paraId="047497C7">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加密电子投标文件的上传：加密电子投标文件须在投标截止时间前通过河南省公共资源交易中心</w:t>
            </w:r>
            <w:r>
              <w:rPr>
                <w:rFonts w:ascii="仿宋_GB2312" w:hAnsi="Times New Roman" w:eastAsia="仿宋_GB2312" w:cs="Times New Roman"/>
                <w:color w:val="auto"/>
                <w:sz w:val="28"/>
                <w:szCs w:val="28"/>
                <w:lang w:val="en-US" w:eastAsia="zh-CN"/>
              </w:rPr>
              <w:t>网站</w:t>
            </w:r>
            <w:r>
              <w:rPr>
                <w:rFonts w:ascii="仿宋_GB2312" w:hAnsi="Times New Roman" w:eastAsia="仿宋_GB2312" w:cs="Times New Roman"/>
                <w:color w:val="auto"/>
                <w:sz w:val="28"/>
                <w:szCs w:val="28"/>
                <w:lang w:eastAsia="zh-CN"/>
              </w:rPr>
              <w:t>（</w:t>
            </w:r>
            <w:r>
              <w:rPr>
                <w:rFonts w:hint="default" w:ascii="仿宋_GB2312" w:hAnsi="Times New Roman" w:eastAsia="仿宋_GB2312" w:cs="Times New Roman"/>
                <w:color w:val="auto"/>
                <w:sz w:val="28"/>
                <w:szCs w:val="28"/>
                <w:lang w:val="en-US" w:eastAsia="zh-CN"/>
              </w:rPr>
              <w:t>hnsggzyjy.henan.gov.cn</w:t>
            </w:r>
            <w:r>
              <w:rPr>
                <w:rFonts w:ascii="仿宋_GB2312" w:hAnsi="Times New Roman" w:eastAsia="仿宋_GB2312" w:cs="Times New Roman"/>
                <w:color w:val="auto"/>
                <w:sz w:val="28"/>
                <w:szCs w:val="28"/>
                <w:lang w:eastAsia="zh-CN"/>
              </w:rPr>
              <w:t>）电子交易平台加密上传。</w:t>
            </w:r>
          </w:p>
        </w:tc>
      </w:tr>
      <w:tr w14:paraId="78E77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267A398A">
            <w:pPr>
              <w:spacing w:after="0" w:line="360" w:lineRule="auto"/>
              <w:jc w:val="center"/>
              <w:rPr>
                <w:rFonts w:hint="default" w:ascii="仿宋_GB2312" w:hAnsi="Times New Roman" w:eastAsia="仿宋_GB2312" w:cs="Times New Roman"/>
                <w:color w:val="auto"/>
                <w:sz w:val="28"/>
                <w:szCs w:val="28"/>
              </w:rPr>
            </w:pPr>
            <w:r>
              <w:rPr>
                <w:rFonts w:ascii="仿宋_GB2312" w:hAnsi="Times New Roman" w:eastAsia="仿宋_GB2312" w:cs="Times New Roman"/>
                <w:color w:val="auto"/>
                <w:sz w:val="28"/>
                <w:szCs w:val="28"/>
              </w:rPr>
              <w:t>2</w:t>
            </w:r>
            <w:r>
              <w:rPr>
                <w:rFonts w:ascii="仿宋_GB2312" w:hAnsi="Times New Roman" w:eastAsia="仿宋_GB2312" w:cs="Times New Roman"/>
                <w:color w:val="auto"/>
                <w:sz w:val="28"/>
                <w:szCs w:val="28"/>
                <w:lang w:val="en-US" w:eastAsia="zh-CN"/>
              </w:rPr>
              <w:t>7</w:t>
            </w:r>
            <w:r>
              <w:rPr>
                <w:rFonts w:ascii="仿宋_GB2312" w:hAnsi="Times New Roman" w:eastAsia="仿宋_GB2312" w:cs="Times New Roman"/>
                <w:color w:val="auto"/>
                <w:sz w:val="28"/>
                <w:szCs w:val="28"/>
              </w:rPr>
              <w:t>.1</w:t>
            </w:r>
          </w:p>
        </w:tc>
        <w:tc>
          <w:tcPr>
            <w:tcW w:w="7751" w:type="dxa"/>
            <w:vAlign w:val="center"/>
          </w:tcPr>
          <w:p w14:paraId="3C61A360">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投标截止时间：</w:t>
            </w:r>
            <w:r>
              <w:rPr>
                <w:rFonts w:ascii="仿宋_GB2312" w:hAnsi="Times New Roman" w:eastAsia="仿宋_GB2312" w:cs="Times New Roman"/>
                <w:b/>
                <w:color w:val="auto"/>
                <w:sz w:val="28"/>
                <w:szCs w:val="28"/>
                <w:lang w:val="en-US" w:eastAsia="zh-CN"/>
              </w:rPr>
              <w:t>详见“第一章 投标邀请”</w:t>
            </w:r>
          </w:p>
        </w:tc>
      </w:tr>
      <w:tr w14:paraId="3F13A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113520B4">
            <w:pPr>
              <w:spacing w:after="0" w:line="360" w:lineRule="auto"/>
              <w:jc w:val="center"/>
              <w:rPr>
                <w:rFonts w:hint="default" w:ascii="仿宋_GB2312" w:hAnsi="Times New Roman" w:eastAsia="仿宋_GB2312" w:cs="Times New Roman"/>
                <w:color w:val="auto"/>
                <w:sz w:val="28"/>
                <w:szCs w:val="28"/>
              </w:rPr>
            </w:pPr>
            <w:r>
              <w:rPr>
                <w:rFonts w:ascii="仿宋_GB2312" w:hAnsi="Times New Roman" w:eastAsia="仿宋_GB2312" w:cs="Times New Roman"/>
                <w:color w:val="auto"/>
                <w:sz w:val="28"/>
                <w:szCs w:val="28"/>
                <w:lang w:val="en-US" w:eastAsia="zh-CN"/>
              </w:rPr>
              <w:t>30</w:t>
            </w:r>
            <w:r>
              <w:rPr>
                <w:rFonts w:ascii="仿宋_GB2312" w:hAnsi="Times New Roman" w:eastAsia="仿宋_GB2312" w:cs="Times New Roman"/>
                <w:color w:val="auto"/>
                <w:sz w:val="28"/>
                <w:szCs w:val="28"/>
              </w:rPr>
              <w:t>.1</w:t>
            </w:r>
          </w:p>
        </w:tc>
        <w:tc>
          <w:tcPr>
            <w:tcW w:w="7751" w:type="dxa"/>
            <w:vAlign w:val="center"/>
          </w:tcPr>
          <w:p w14:paraId="2CF6A9BB">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开标及解密方式：“远程不见面”开标方式，投标人无需到河南省公共资源交易中心现场参加开标会议。在投标截止时间前，投标人登陆不见面开标大厅，在线准时参加开标活动并进行文件解密。未在规定时间内解密投标文件的投标人，其投标文件不予接受并退回。</w:t>
            </w:r>
          </w:p>
        </w:tc>
      </w:tr>
      <w:tr w14:paraId="53414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90" w:hRule="atLeast"/>
        </w:trPr>
        <w:tc>
          <w:tcPr>
            <w:tcW w:w="952" w:type="dxa"/>
            <w:vAlign w:val="center"/>
          </w:tcPr>
          <w:p w14:paraId="184BF723">
            <w:pPr>
              <w:spacing w:after="0" w:line="360" w:lineRule="auto"/>
              <w:jc w:val="center"/>
              <w:rPr>
                <w:rFonts w:hint="default" w:ascii="仿宋_GB2312" w:hAnsi="Times New Roman" w:eastAsia="仿宋_GB2312" w:cs="Times New Roman"/>
                <w:color w:val="auto"/>
                <w:sz w:val="28"/>
                <w:szCs w:val="28"/>
              </w:rPr>
            </w:pPr>
            <w:r>
              <w:rPr>
                <w:rFonts w:ascii="仿宋_GB2312" w:hAnsi="Times New Roman" w:eastAsia="仿宋_GB2312" w:cs="Times New Roman"/>
                <w:color w:val="auto"/>
                <w:sz w:val="28"/>
                <w:szCs w:val="28"/>
                <w:lang w:val="en-US" w:eastAsia="zh-CN"/>
              </w:rPr>
              <w:t>30</w:t>
            </w:r>
            <w:r>
              <w:rPr>
                <w:rFonts w:ascii="仿宋_GB2312" w:hAnsi="Times New Roman" w:eastAsia="仿宋_GB2312" w:cs="Times New Roman"/>
                <w:color w:val="auto"/>
                <w:sz w:val="28"/>
                <w:szCs w:val="28"/>
              </w:rPr>
              <w:t>.2</w:t>
            </w:r>
          </w:p>
        </w:tc>
        <w:tc>
          <w:tcPr>
            <w:tcW w:w="7751" w:type="dxa"/>
            <w:vAlign w:val="center"/>
          </w:tcPr>
          <w:p w14:paraId="0D90FF8F">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远程开标大厅网址：河南省公共资源交易中心</w:t>
            </w:r>
            <w:r>
              <w:rPr>
                <w:rFonts w:ascii="仿宋_GB2312" w:hAnsi="Times New Roman" w:eastAsia="仿宋_GB2312" w:cs="Times New Roman"/>
                <w:color w:val="auto"/>
                <w:sz w:val="28"/>
                <w:szCs w:val="28"/>
                <w:lang w:val="en-US" w:eastAsia="zh-CN"/>
              </w:rPr>
              <w:t>网站</w:t>
            </w:r>
            <w:r>
              <w:rPr>
                <w:rFonts w:ascii="仿宋_GB2312" w:hAnsi="Times New Roman" w:eastAsia="仿宋_GB2312" w:cs="Times New Roman"/>
                <w:color w:val="auto"/>
                <w:sz w:val="28"/>
                <w:szCs w:val="28"/>
                <w:lang w:eastAsia="zh-CN"/>
              </w:rPr>
              <w:t>（</w:t>
            </w:r>
            <w:r>
              <w:rPr>
                <w:rFonts w:hint="default" w:ascii="仿宋_GB2312" w:hAnsi="Times New Roman" w:eastAsia="仿宋_GB2312" w:cs="Times New Roman"/>
                <w:color w:val="auto"/>
                <w:sz w:val="28"/>
                <w:szCs w:val="28"/>
                <w:lang w:val="en-US" w:eastAsia="zh-CN"/>
              </w:rPr>
              <w:t>hnsggzyjy.henan.gov.cn</w:t>
            </w:r>
            <w:r>
              <w:rPr>
                <w:rFonts w:ascii="仿宋_GB2312" w:hAnsi="Times New Roman" w:eastAsia="仿宋_GB2312" w:cs="Times New Roman"/>
                <w:color w:val="auto"/>
                <w:sz w:val="28"/>
                <w:szCs w:val="28"/>
                <w:lang w:eastAsia="zh-CN"/>
              </w:rPr>
              <w:t>）——不见面开标大厅。</w:t>
            </w:r>
          </w:p>
        </w:tc>
      </w:tr>
      <w:tr w14:paraId="49ADB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434AF3C4">
            <w:pPr>
              <w:spacing w:after="0" w:line="360" w:lineRule="auto"/>
              <w:jc w:val="center"/>
              <w:rPr>
                <w:rFonts w:hint="default" w:ascii="仿宋_GB2312" w:hAnsi="Times New Roman" w:eastAsia="仿宋_GB2312" w:cs="Times New Roman"/>
                <w:color w:val="auto"/>
                <w:sz w:val="28"/>
                <w:szCs w:val="28"/>
              </w:rPr>
            </w:pPr>
            <w:r>
              <w:rPr>
                <w:rFonts w:ascii="仿宋_GB2312" w:hAnsi="Times New Roman" w:eastAsia="仿宋_GB2312" w:cs="Times New Roman"/>
                <w:color w:val="auto"/>
                <w:sz w:val="28"/>
                <w:szCs w:val="28"/>
                <w:lang w:val="en-US" w:eastAsia="zh-CN"/>
              </w:rPr>
              <w:t>30</w:t>
            </w:r>
            <w:r>
              <w:rPr>
                <w:rFonts w:ascii="仿宋_GB2312" w:hAnsi="Times New Roman" w:eastAsia="仿宋_GB2312" w:cs="Times New Roman"/>
                <w:color w:val="auto"/>
                <w:sz w:val="28"/>
                <w:szCs w:val="28"/>
              </w:rPr>
              <w:t>.3</w:t>
            </w:r>
          </w:p>
        </w:tc>
        <w:tc>
          <w:tcPr>
            <w:tcW w:w="7751" w:type="dxa"/>
            <w:vAlign w:val="center"/>
          </w:tcPr>
          <w:p w14:paraId="6E69FFAA">
            <w:pPr>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开标时间：详见“第一章 投标邀请”</w:t>
            </w:r>
          </w:p>
          <w:p w14:paraId="28DFA846">
            <w:pPr>
              <w:spacing w:after="0"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color w:val="auto"/>
                <w:sz w:val="28"/>
                <w:szCs w:val="28"/>
                <w:lang w:val="en-US" w:eastAsia="zh-CN"/>
              </w:rPr>
              <w:t>开标地点：详见“第一章 投标邀请”</w:t>
            </w:r>
          </w:p>
        </w:tc>
      </w:tr>
      <w:tr w14:paraId="7D26A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2CBC2A3B">
            <w:pPr>
              <w:spacing w:after="0" w:line="360" w:lineRule="auto"/>
              <w:jc w:val="center"/>
              <w:rPr>
                <w:rFonts w:hint="default" w:ascii="仿宋_GB2312" w:hAnsi="Times New Roman" w:eastAsia="仿宋_GB2312" w:cs="Times New Roman"/>
                <w:color w:val="auto"/>
                <w:sz w:val="28"/>
                <w:szCs w:val="28"/>
              </w:rPr>
            </w:pPr>
            <w:r>
              <w:rPr>
                <w:rFonts w:ascii="仿宋_GB2312" w:hAnsi="Times New Roman" w:eastAsia="仿宋_GB2312" w:cs="Times New Roman"/>
                <w:color w:val="auto"/>
                <w:sz w:val="28"/>
                <w:szCs w:val="28"/>
                <w:lang w:val="en-US" w:eastAsia="zh-CN"/>
              </w:rPr>
              <w:t>31</w:t>
            </w:r>
            <w:r>
              <w:rPr>
                <w:rFonts w:ascii="仿宋_GB2312" w:hAnsi="Times New Roman" w:eastAsia="仿宋_GB2312" w:cs="Times New Roman"/>
                <w:color w:val="auto"/>
                <w:sz w:val="28"/>
                <w:szCs w:val="28"/>
              </w:rPr>
              <w:t>.3</w:t>
            </w:r>
          </w:p>
        </w:tc>
        <w:tc>
          <w:tcPr>
            <w:tcW w:w="7751" w:type="dxa"/>
            <w:vAlign w:val="center"/>
          </w:tcPr>
          <w:p w14:paraId="16802AF1">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采购人依据以下标准对投标人的资格进行审查，有一项不符合审查标准的，该投标人资格为不合格。</w:t>
            </w:r>
          </w:p>
          <w:p w14:paraId="7901350C">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（1）法人或者其他组织的营业执照等证明文件或自然人的身份证明符合招标文件规定；</w:t>
            </w:r>
          </w:p>
          <w:p w14:paraId="1F30F8DC">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（2）财务审计报告（</w:t>
            </w:r>
            <w:r>
              <w:rPr>
                <w:rFonts w:ascii="仿宋_GB2312" w:hAnsi="Times New Roman" w:eastAsia="仿宋_GB2312" w:cs="Times New Roman"/>
                <w:color w:val="auto"/>
                <w:sz w:val="28"/>
                <w:szCs w:val="28"/>
                <w:lang w:val="en" w:eastAsia="zh-CN"/>
              </w:rPr>
              <w:t>2023</w:t>
            </w:r>
            <w:r>
              <w:rPr>
                <w:rFonts w:ascii="仿宋_GB2312" w:hAnsi="Times New Roman" w:eastAsia="仿宋_GB2312" w:cs="Times New Roman"/>
                <w:color w:val="auto"/>
                <w:sz w:val="28"/>
                <w:szCs w:val="28"/>
                <w:lang w:val="en-US" w:eastAsia="zh-CN"/>
              </w:rPr>
              <w:t>年度</w:t>
            </w:r>
            <w:r>
              <w:rPr>
                <w:rFonts w:ascii="仿宋_GB2312" w:hAnsi="Times New Roman" w:eastAsia="仿宋_GB2312" w:cs="Times New Roman"/>
                <w:color w:val="auto"/>
                <w:sz w:val="28"/>
                <w:szCs w:val="28"/>
                <w:lang w:eastAsia="zh-CN"/>
              </w:rPr>
              <w:t>）</w:t>
            </w:r>
            <w:r>
              <w:rPr>
                <w:rFonts w:ascii="仿宋_GB2312" w:hAnsi="Times New Roman" w:eastAsia="仿宋_GB2312" w:cs="Times New Roman"/>
                <w:color w:val="auto"/>
                <w:sz w:val="28"/>
                <w:szCs w:val="28"/>
                <w:lang w:val="en-US" w:eastAsia="zh-CN"/>
              </w:rPr>
              <w:t>等材料</w:t>
            </w:r>
            <w:r>
              <w:rPr>
                <w:rFonts w:ascii="仿宋_GB2312" w:hAnsi="Times New Roman" w:eastAsia="仿宋_GB2312" w:cs="Times New Roman"/>
                <w:color w:val="auto"/>
                <w:sz w:val="28"/>
                <w:szCs w:val="28"/>
                <w:lang w:eastAsia="zh-CN"/>
              </w:rPr>
              <w:t>符合招标文件规定；</w:t>
            </w:r>
          </w:p>
          <w:p w14:paraId="08B7F2A1">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（3）依法缴纳税收和依法缴纳社会保障资金的证明材料符合招标文件规定（自</w:t>
            </w:r>
            <w:r>
              <w:rPr>
                <w:rFonts w:ascii="仿宋_GB2312" w:hAnsi="Times New Roman" w:eastAsia="仿宋_GB2312" w:cs="Times New Roman"/>
                <w:color w:val="auto"/>
                <w:sz w:val="28"/>
                <w:szCs w:val="28"/>
                <w:lang w:val="en" w:eastAsia="zh-CN"/>
              </w:rPr>
              <w:t>2024年1月1日</w:t>
            </w:r>
            <w:r>
              <w:rPr>
                <w:rFonts w:ascii="仿宋_GB2312" w:hAnsi="Times New Roman" w:eastAsia="仿宋_GB2312" w:cs="Times New Roman"/>
                <w:color w:val="auto"/>
                <w:sz w:val="28"/>
                <w:szCs w:val="28"/>
                <w:lang w:eastAsia="zh-CN"/>
              </w:rPr>
              <w:t>以来至少一个月）；</w:t>
            </w:r>
          </w:p>
          <w:p w14:paraId="043E8300">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（4）具备履行合同所必需的设备和专业技术能力</w:t>
            </w:r>
            <w:r>
              <w:rPr>
                <w:rFonts w:ascii="仿宋_GB2312" w:hAnsi="Times New Roman" w:eastAsia="仿宋_GB2312" w:cs="Times New Roman"/>
                <w:color w:val="auto"/>
                <w:sz w:val="28"/>
                <w:szCs w:val="28"/>
                <w:lang w:val="en-US" w:eastAsia="zh-CN"/>
              </w:rPr>
              <w:t>符</w:t>
            </w:r>
            <w:r>
              <w:rPr>
                <w:rFonts w:ascii="仿宋_GB2312" w:hAnsi="Times New Roman" w:eastAsia="仿宋_GB2312" w:cs="Times New Roman"/>
                <w:color w:val="auto"/>
                <w:sz w:val="28"/>
                <w:szCs w:val="28"/>
                <w:lang w:eastAsia="zh-CN"/>
              </w:rPr>
              <w:t>合招标文件规定；</w:t>
            </w:r>
          </w:p>
          <w:p w14:paraId="623D6843">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（5）参加政府采购活动前3年内在经营活动中没有重大违法记录声明符合招标文件规定;</w:t>
            </w:r>
          </w:p>
          <w:p w14:paraId="1ACBB84D">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（6）信用查询记录符合招标文件规定;</w:t>
            </w:r>
          </w:p>
          <w:p w14:paraId="0E3E073A">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（7）其他资格要求符合招标文件规定。</w:t>
            </w:r>
          </w:p>
        </w:tc>
      </w:tr>
      <w:tr w14:paraId="2F4A4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6B8FDA62">
            <w:pPr>
              <w:spacing w:after="0" w:line="360" w:lineRule="auto"/>
              <w:jc w:val="center"/>
              <w:rPr>
                <w:rFonts w:hint="default" w:ascii="仿宋_GB2312" w:hAnsi="Times New Roman" w:eastAsia="仿宋_GB2312" w:cs="Times New Roman"/>
                <w:color w:val="auto"/>
                <w:sz w:val="28"/>
                <w:szCs w:val="28"/>
              </w:rPr>
            </w:pPr>
            <w:r>
              <w:rPr>
                <w:rFonts w:ascii="仿宋_GB2312" w:hAnsi="Times New Roman" w:eastAsia="仿宋_GB2312" w:cs="Times New Roman"/>
                <w:color w:val="auto"/>
                <w:sz w:val="28"/>
                <w:szCs w:val="28"/>
              </w:rPr>
              <w:t>3</w:t>
            </w:r>
            <w:r>
              <w:rPr>
                <w:rFonts w:ascii="仿宋_GB2312" w:hAnsi="Times New Roman" w:eastAsia="仿宋_GB2312" w:cs="Times New Roman"/>
                <w:color w:val="auto"/>
                <w:sz w:val="28"/>
                <w:szCs w:val="28"/>
                <w:lang w:val="en-US" w:eastAsia="zh-CN"/>
              </w:rPr>
              <w:t>1</w:t>
            </w:r>
            <w:r>
              <w:rPr>
                <w:rFonts w:ascii="仿宋_GB2312" w:hAnsi="Times New Roman" w:eastAsia="仿宋_GB2312" w:cs="Times New Roman"/>
                <w:color w:val="auto"/>
                <w:sz w:val="28"/>
                <w:szCs w:val="28"/>
              </w:rPr>
              <w:t>.4</w:t>
            </w:r>
          </w:p>
        </w:tc>
        <w:tc>
          <w:tcPr>
            <w:tcW w:w="7751" w:type="dxa"/>
            <w:vAlign w:val="center"/>
          </w:tcPr>
          <w:p w14:paraId="5A6563AC">
            <w:pPr>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b/>
                <w:bCs/>
                <w:color w:val="auto"/>
                <w:sz w:val="28"/>
                <w:szCs w:val="28"/>
                <w:lang w:val="en-US" w:eastAsia="zh-CN"/>
              </w:rPr>
              <w:t>信用记录:</w:t>
            </w:r>
            <w:r>
              <w:rPr>
                <w:rFonts w:ascii="仿宋_GB2312" w:hAnsi="Times New Roman" w:eastAsia="仿宋_GB2312" w:cs="Times New Roman"/>
                <w:color w:val="auto"/>
                <w:sz w:val="28"/>
                <w:szCs w:val="28"/>
                <w:lang w:val="en-US" w:eastAsia="zh-CN"/>
              </w:rPr>
              <w:t>根据《关于在政府采购活动中查询及使用信用记录有关问题的通知》(财库〔2016〕125号)文的要求，采购人将在投标截止时间后在“信用中国”网站查询投标人“失信被执行人”和“重大税收违法案件当事人名单”，在“中国政府采购网”站查询投标人“政府采购严重违法失信行为记录名单”；投标人被列入失信被执行人、重大税收违法案件当事人名单、政府采购严重违法失信行为记录名单的，其投标文件作为无效处理。</w:t>
            </w:r>
          </w:p>
          <w:p w14:paraId="721E6632">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b/>
                <w:bCs/>
                <w:color w:val="auto"/>
                <w:sz w:val="28"/>
                <w:szCs w:val="28"/>
                <w:lang w:val="en-US" w:eastAsia="zh-CN"/>
              </w:rPr>
              <w:t>查询及记录方式：</w:t>
            </w:r>
            <w:r>
              <w:rPr>
                <w:rFonts w:ascii="仿宋_GB2312" w:hAnsi="Times New Roman" w:eastAsia="仿宋_GB2312" w:cs="Times New Roman"/>
                <w:color w:val="auto"/>
                <w:sz w:val="28"/>
                <w:szCs w:val="28"/>
                <w:lang w:val="en-US" w:eastAsia="zh-CN"/>
              </w:rPr>
              <w:t>采购人将查询网页打印、存档备查。投标人信用记录以采购人查询结果为准，采购人查询之后，网站信息发生的任何变更均不再作为资格审查或评审依据，投标人自行提供的与网站信息不一致的其他证明材料亦不作为资格审查或评审依据。</w:t>
            </w:r>
          </w:p>
        </w:tc>
      </w:tr>
      <w:tr w14:paraId="56928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2E0957F4">
            <w:pPr>
              <w:spacing w:after="0" w:line="360" w:lineRule="auto"/>
              <w:jc w:val="center"/>
              <w:rPr>
                <w:rFonts w:hint="default" w:ascii="仿宋_GB2312" w:hAnsi="Times New Roman" w:eastAsia="仿宋_GB2312" w:cs="Times New Roman"/>
                <w:color w:val="auto"/>
                <w:sz w:val="28"/>
                <w:szCs w:val="28"/>
              </w:rPr>
            </w:pPr>
            <w:r>
              <w:rPr>
                <w:rFonts w:ascii="仿宋_GB2312" w:hAnsi="Times New Roman" w:eastAsia="仿宋_GB2312" w:cs="Times New Roman"/>
                <w:color w:val="auto"/>
                <w:sz w:val="28"/>
                <w:szCs w:val="28"/>
              </w:rPr>
              <w:t>3</w:t>
            </w:r>
            <w:r>
              <w:rPr>
                <w:rFonts w:ascii="仿宋_GB2312" w:hAnsi="Times New Roman" w:eastAsia="仿宋_GB2312" w:cs="Times New Roman"/>
                <w:color w:val="auto"/>
                <w:sz w:val="28"/>
                <w:szCs w:val="28"/>
                <w:lang w:val="en-US" w:eastAsia="zh-CN"/>
              </w:rPr>
              <w:t>2</w:t>
            </w:r>
            <w:r>
              <w:rPr>
                <w:rFonts w:ascii="仿宋_GB2312" w:hAnsi="Times New Roman" w:eastAsia="仿宋_GB2312" w:cs="Times New Roman"/>
                <w:color w:val="auto"/>
                <w:sz w:val="28"/>
                <w:szCs w:val="28"/>
              </w:rPr>
              <w:t>.1</w:t>
            </w:r>
          </w:p>
        </w:tc>
        <w:tc>
          <w:tcPr>
            <w:tcW w:w="7751" w:type="dxa"/>
            <w:vAlign w:val="center"/>
          </w:tcPr>
          <w:p w14:paraId="49AE8CA5">
            <w:pPr>
              <w:spacing w:after="0" w:line="360" w:lineRule="auto"/>
              <w:rPr>
                <w:rFonts w:hint="default" w:ascii="仿宋_GB2312" w:hAnsi="Times New Roman" w:eastAsia="仿宋_GB2312" w:cs="Times New Roman"/>
                <w:b/>
                <w:color w:val="auto"/>
                <w:sz w:val="28"/>
                <w:szCs w:val="28"/>
                <w:lang w:eastAsia="zh-CN"/>
              </w:rPr>
            </w:pPr>
            <w:r>
              <w:rPr>
                <w:rFonts w:ascii="仿宋_GB2312" w:hAnsi="Times New Roman" w:eastAsia="仿宋_GB2312" w:cs="Times New Roman"/>
                <w:color w:val="auto"/>
                <w:sz w:val="28"/>
                <w:szCs w:val="28"/>
                <w:lang w:eastAsia="zh-CN"/>
              </w:rPr>
              <w:t>评标委员会负责具体评标事务。评标委员会由采购人代表和评审专家组成，成员人数应当为</w:t>
            </w:r>
            <w:r>
              <w:rPr>
                <w:rFonts w:ascii="仿宋_GB2312" w:hAnsi="Times New Roman" w:eastAsia="仿宋_GB2312" w:cs="Times New Roman"/>
                <w:color w:val="auto"/>
                <w:sz w:val="28"/>
                <w:szCs w:val="28"/>
                <w:lang w:val="en-US" w:eastAsia="zh-CN"/>
              </w:rPr>
              <w:t>5</w:t>
            </w:r>
            <w:r>
              <w:rPr>
                <w:rFonts w:ascii="仿宋_GB2312" w:hAnsi="Times New Roman" w:eastAsia="仿宋_GB2312" w:cs="Times New Roman"/>
                <w:color w:val="auto"/>
                <w:sz w:val="28"/>
                <w:szCs w:val="28"/>
                <w:lang w:eastAsia="zh-CN"/>
              </w:rPr>
              <w:t>人，其中评审专家不得少于成员总数的三分之二。</w:t>
            </w:r>
          </w:p>
        </w:tc>
      </w:tr>
      <w:tr w14:paraId="12071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236EA3F5">
            <w:pPr>
              <w:spacing w:after="0" w:line="360" w:lineRule="auto"/>
              <w:jc w:val="center"/>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35.4</w:t>
            </w:r>
          </w:p>
        </w:tc>
        <w:tc>
          <w:tcPr>
            <w:tcW w:w="7751" w:type="dxa"/>
            <w:vAlign w:val="center"/>
          </w:tcPr>
          <w:p w14:paraId="0D72AC0E">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节能环保政策</w:t>
            </w:r>
          </w:p>
          <w:p w14:paraId="3C8B5CF0">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（1）本项目若含有节能产品政府采购品目清单内政府强制采购产品，投标人须选用国家确定的认证机构认证的处于有效期之内的政府强制采购节能产品。</w:t>
            </w:r>
          </w:p>
          <w:p w14:paraId="11E2F5C2">
            <w:pPr>
              <w:spacing w:after="0" w:line="360" w:lineRule="auto"/>
              <w:rPr>
                <w:rFonts w:hint="default" w:ascii="仿宋_GB2312" w:hAnsi="Times New Roman" w:eastAsia="仿宋_GB2312" w:cs="Times New Roman"/>
                <w:strike/>
                <w:color w:val="auto"/>
                <w:sz w:val="28"/>
                <w:szCs w:val="28"/>
                <w:lang w:eastAsia="zh-CN"/>
              </w:rPr>
            </w:pPr>
            <w:r>
              <w:rPr>
                <w:rFonts w:ascii="仿宋_GB2312" w:hAnsi="Times New Roman" w:eastAsia="仿宋_GB2312" w:cs="Times New Roman"/>
                <w:color w:val="auto"/>
                <w:sz w:val="28"/>
                <w:szCs w:val="28"/>
                <w:lang w:eastAsia="zh-CN"/>
              </w:rPr>
              <w:t>（2）本项目若含有节能产品、环境标志产品政府采购品目清单内政府优先采购产品，对选用国家确定的认证机构认证的处于有效期之内的政府优先采购节能产品（政府强制采购产品除外）、环境标志产品的，在评标时予以优先采购。</w:t>
            </w:r>
          </w:p>
          <w:p w14:paraId="3118D900">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（3）投标人应提供国家确定的认证机构出具的处于有效期之内的节能产品、环境标志产品认证证书。</w:t>
            </w:r>
          </w:p>
        </w:tc>
      </w:tr>
      <w:tr w14:paraId="340BC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0931B035">
            <w:pPr>
              <w:spacing w:after="0" w:line="360" w:lineRule="auto"/>
              <w:jc w:val="center"/>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35.6</w:t>
            </w:r>
          </w:p>
        </w:tc>
        <w:tc>
          <w:tcPr>
            <w:tcW w:w="7751" w:type="dxa"/>
            <w:vAlign w:val="center"/>
          </w:tcPr>
          <w:p w14:paraId="101484B8">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投标人承诺商品包装符合《商品包装政府采购需求标准（试行）》，快递包装符合《快递包装政府采购需求标准（试行）》的，在评标时优先采购。</w:t>
            </w:r>
          </w:p>
        </w:tc>
      </w:tr>
      <w:tr w14:paraId="537E3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23721A3A">
            <w:pPr>
              <w:spacing w:after="0" w:line="360" w:lineRule="auto"/>
              <w:jc w:val="center"/>
              <w:rPr>
                <w:rFonts w:hint="default" w:ascii="仿宋_GB2312" w:hAnsi="Times New Roman" w:eastAsia="仿宋_GB2312" w:cs="Times New Roman"/>
                <w:color w:val="auto"/>
                <w:sz w:val="28"/>
                <w:szCs w:val="28"/>
              </w:rPr>
            </w:pPr>
            <w:r>
              <w:rPr>
                <w:rFonts w:ascii="仿宋_GB2312" w:hAnsi="Times New Roman" w:eastAsia="仿宋_GB2312" w:cs="Times New Roman"/>
                <w:color w:val="auto"/>
                <w:sz w:val="28"/>
                <w:szCs w:val="28"/>
              </w:rPr>
              <w:t>3</w:t>
            </w:r>
            <w:r>
              <w:rPr>
                <w:rFonts w:ascii="仿宋_GB2312" w:hAnsi="Times New Roman" w:eastAsia="仿宋_GB2312" w:cs="Times New Roman"/>
                <w:color w:val="auto"/>
                <w:sz w:val="28"/>
                <w:szCs w:val="28"/>
                <w:lang w:val="en-US" w:eastAsia="zh-CN"/>
              </w:rPr>
              <w:t>6</w:t>
            </w:r>
            <w:r>
              <w:rPr>
                <w:rFonts w:ascii="仿宋_GB2312" w:hAnsi="Times New Roman" w:eastAsia="仿宋_GB2312" w:cs="Times New Roman"/>
                <w:color w:val="auto"/>
                <w:sz w:val="28"/>
                <w:szCs w:val="28"/>
              </w:rPr>
              <w:t>.1</w:t>
            </w:r>
          </w:p>
        </w:tc>
        <w:tc>
          <w:tcPr>
            <w:tcW w:w="7751" w:type="dxa"/>
            <w:vAlign w:val="center"/>
          </w:tcPr>
          <w:p w14:paraId="02E6D27D">
            <w:pPr>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中小企业扶持:</w:t>
            </w:r>
          </w:p>
          <w:p w14:paraId="42CD3A52">
            <w:pPr>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货物制造商全部为小型或微型企业的，对投标人报价给予10%的扣除，用扣除后的价格参与评审。小型和微型企业的认定根据投标人提供的《中小企业声明函》（第五章 投标文件格式）进行。（投标人提供的货物既有中小企业制造货物，也有大型企业制造货物的，不享受中小企业扶持政策）。</w:t>
            </w:r>
          </w:p>
          <w:p w14:paraId="3AA5BCBE">
            <w:pPr>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b/>
                <w:bCs/>
                <w:color w:val="auto"/>
                <w:sz w:val="28"/>
                <w:szCs w:val="28"/>
                <w:lang w:val="en-US" w:eastAsia="zh-CN"/>
              </w:rPr>
              <w:t>本采购项目所属行业：“第六章 项目需求及技术要求”</w:t>
            </w:r>
          </w:p>
        </w:tc>
      </w:tr>
      <w:tr w14:paraId="6C913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94" w:hRule="atLeast"/>
        </w:trPr>
        <w:tc>
          <w:tcPr>
            <w:tcW w:w="952" w:type="dxa"/>
            <w:vAlign w:val="center"/>
          </w:tcPr>
          <w:p w14:paraId="41CC1932">
            <w:pPr>
              <w:spacing w:after="0" w:line="360" w:lineRule="auto"/>
              <w:jc w:val="center"/>
              <w:rPr>
                <w:rFonts w:hint="default" w:ascii="仿宋_GB2312" w:hAnsi="Times New Roman" w:eastAsia="仿宋_GB2312" w:cs="Times New Roman"/>
                <w:color w:val="auto"/>
                <w:sz w:val="28"/>
                <w:szCs w:val="28"/>
              </w:rPr>
            </w:pPr>
            <w:r>
              <w:rPr>
                <w:rFonts w:ascii="仿宋_GB2312" w:hAnsi="Times New Roman" w:eastAsia="仿宋_GB2312" w:cs="Times New Roman"/>
                <w:color w:val="auto"/>
                <w:sz w:val="28"/>
                <w:szCs w:val="28"/>
              </w:rPr>
              <w:t>3</w:t>
            </w:r>
            <w:r>
              <w:rPr>
                <w:rFonts w:ascii="仿宋_GB2312" w:hAnsi="Times New Roman" w:eastAsia="仿宋_GB2312" w:cs="Times New Roman"/>
                <w:color w:val="auto"/>
                <w:sz w:val="28"/>
                <w:szCs w:val="28"/>
                <w:lang w:val="en-US" w:eastAsia="zh-CN"/>
              </w:rPr>
              <w:t>7</w:t>
            </w:r>
            <w:r>
              <w:rPr>
                <w:rFonts w:ascii="仿宋_GB2312" w:hAnsi="Times New Roman" w:eastAsia="仿宋_GB2312" w:cs="Times New Roman"/>
                <w:color w:val="auto"/>
                <w:sz w:val="28"/>
                <w:szCs w:val="28"/>
              </w:rPr>
              <w:t>.</w:t>
            </w:r>
            <w:r>
              <w:rPr>
                <w:rFonts w:ascii="仿宋_GB2312" w:hAnsi="Times New Roman" w:eastAsia="仿宋_GB2312" w:cs="Times New Roman"/>
                <w:color w:val="auto"/>
                <w:sz w:val="28"/>
                <w:szCs w:val="28"/>
                <w:lang w:val="en-US" w:eastAsia="zh-CN"/>
              </w:rPr>
              <w:t>1</w:t>
            </w:r>
          </w:p>
        </w:tc>
        <w:tc>
          <w:tcPr>
            <w:tcW w:w="7751" w:type="dxa"/>
            <w:vAlign w:val="center"/>
          </w:tcPr>
          <w:p w14:paraId="7D1E969E">
            <w:pPr>
              <w:spacing w:after="0" w:line="360" w:lineRule="auto"/>
              <w:rPr>
                <w:rFonts w:hint="default" w:ascii="仿宋_GB2312" w:hAnsi="Times New Roman" w:eastAsia="仿宋_GB2312" w:cs="Times New Roman"/>
                <w:b/>
                <w:bCs/>
                <w:color w:val="auto"/>
                <w:sz w:val="28"/>
                <w:szCs w:val="28"/>
                <w:lang w:val="en-US" w:eastAsia="zh-CN"/>
              </w:rPr>
            </w:pPr>
            <w:r>
              <w:rPr>
                <w:rFonts w:ascii="仿宋_GB2312" w:hAnsi="Times New Roman" w:eastAsia="仿宋_GB2312" w:cs="Times New Roman"/>
                <w:b/>
                <w:bCs/>
                <w:color w:val="auto"/>
                <w:sz w:val="28"/>
                <w:szCs w:val="28"/>
                <w:lang w:val="en-US" w:eastAsia="zh-CN"/>
              </w:rPr>
              <w:t>评标方法：综合评分法。</w:t>
            </w:r>
          </w:p>
          <w:p w14:paraId="7817570C">
            <w:pPr>
              <w:spacing w:after="0" w:line="360" w:lineRule="auto"/>
              <w:ind w:firstLine="560" w:firstLineChars="20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评标委员会对满足招标文件全部实质性要求的投标文件，按照招标文件规定的评审因素的量化指标进行评审打分，以评审得分从高到低顺序确定中标候选人。</w:t>
            </w:r>
          </w:p>
        </w:tc>
      </w:tr>
      <w:tr w14:paraId="691DE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88" w:hRule="atLeast"/>
        </w:trPr>
        <w:tc>
          <w:tcPr>
            <w:tcW w:w="952" w:type="dxa"/>
            <w:vAlign w:val="center"/>
          </w:tcPr>
          <w:p w14:paraId="0CC3B113">
            <w:pPr>
              <w:spacing w:after="0" w:line="360" w:lineRule="auto"/>
              <w:jc w:val="center"/>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38</w:t>
            </w:r>
          </w:p>
        </w:tc>
        <w:tc>
          <w:tcPr>
            <w:tcW w:w="7751" w:type="dxa"/>
            <w:vAlign w:val="center"/>
          </w:tcPr>
          <w:p w14:paraId="31154836">
            <w:pPr>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（1）根据评审后得分由高到低的顺序推荐3名中标候选人</w:t>
            </w:r>
          </w:p>
          <w:p w14:paraId="0CEB2BCA">
            <w:pPr>
              <w:spacing w:after="0" w:line="360" w:lineRule="auto"/>
              <w:rPr>
                <w:lang w:val="en-US" w:eastAsia="zh-CN"/>
              </w:rPr>
            </w:pPr>
            <w:r>
              <w:rPr>
                <w:rFonts w:ascii="仿宋_GB2312" w:hAnsi="Times New Roman" w:eastAsia="仿宋_GB2312" w:cs="Times New Roman"/>
                <w:color w:val="auto"/>
                <w:sz w:val="28"/>
                <w:szCs w:val="28"/>
                <w:lang w:val="en-US" w:eastAsia="zh-CN"/>
              </w:rPr>
              <w:t>（2）评审得分相同的，按投标报价由低到高顺序推荐排列；评审得分且投标报价相同的并列。</w:t>
            </w:r>
          </w:p>
        </w:tc>
      </w:tr>
      <w:tr w14:paraId="52AA3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172415DC">
            <w:pPr>
              <w:spacing w:after="0" w:line="360" w:lineRule="auto"/>
              <w:jc w:val="center"/>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41.1</w:t>
            </w:r>
          </w:p>
        </w:tc>
        <w:tc>
          <w:tcPr>
            <w:tcW w:w="7751" w:type="dxa"/>
            <w:vAlign w:val="center"/>
          </w:tcPr>
          <w:p w14:paraId="4DFCA62C">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中标结果公告媒介：《河南省政府采购网》《河南省公共资源交易中心网》</w:t>
            </w:r>
          </w:p>
        </w:tc>
      </w:tr>
      <w:tr w14:paraId="1FD60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44897AD6">
            <w:pPr>
              <w:spacing w:after="0" w:line="360" w:lineRule="auto"/>
              <w:jc w:val="center"/>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rPr>
              <w:t>4</w:t>
            </w:r>
            <w:r>
              <w:rPr>
                <w:rFonts w:ascii="仿宋_GB2312" w:hAnsi="Times New Roman" w:eastAsia="仿宋_GB2312" w:cs="Times New Roman"/>
                <w:color w:val="auto"/>
                <w:sz w:val="28"/>
                <w:szCs w:val="28"/>
                <w:lang w:val="en-US" w:eastAsia="zh-CN"/>
              </w:rPr>
              <w:t>4</w:t>
            </w:r>
          </w:p>
        </w:tc>
        <w:tc>
          <w:tcPr>
            <w:tcW w:w="7751" w:type="dxa"/>
            <w:vAlign w:val="center"/>
          </w:tcPr>
          <w:p w14:paraId="6FB8367A">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数量</w:t>
            </w:r>
            <w:r>
              <w:rPr>
                <w:rFonts w:ascii="仿宋_GB2312" w:hAnsi="Times New Roman" w:eastAsia="仿宋_GB2312" w:cs="Times New Roman"/>
                <w:color w:val="auto"/>
                <w:sz w:val="28"/>
                <w:szCs w:val="28"/>
                <w:lang w:val="en-US" w:eastAsia="zh-CN"/>
              </w:rPr>
              <w:t>追加</w:t>
            </w:r>
            <w:r>
              <w:rPr>
                <w:rFonts w:ascii="仿宋_GB2312" w:hAnsi="Times New Roman" w:eastAsia="仿宋_GB2312" w:cs="Times New Roman"/>
                <w:color w:val="auto"/>
                <w:sz w:val="28"/>
                <w:szCs w:val="28"/>
                <w:lang w:eastAsia="zh-CN"/>
              </w:rPr>
              <w:t>范围：采购人需追加与合同标的相同的货物的，在不改变合同其它条款的前提下，可以与投标人签订补充合同，但所有补充合同的采购金额不得超过原合同金额的百分之十。</w:t>
            </w:r>
          </w:p>
        </w:tc>
      </w:tr>
      <w:tr w14:paraId="2EBB2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05065DD9">
            <w:pPr>
              <w:spacing w:after="0" w:line="360" w:lineRule="auto"/>
              <w:jc w:val="center"/>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48</w:t>
            </w:r>
          </w:p>
        </w:tc>
        <w:tc>
          <w:tcPr>
            <w:tcW w:w="7751" w:type="dxa"/>
            <w:vAlign w:val="center"/>
          </w:tcPr>
          <w:p w14:paraId="641BFD7F">
            <w:pPr>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招标代理费</w:t>
            </w:r>
            <w:r>
              <w:rPr>
                <w:rFonts w:ascii="仿宋_GB2312" w:hAnsi="Times New Roman" w:eastAsia="仿宋_GB2312" w:cs="Times New Roman"/>
                <w:color w:val="auto"/>
                <w:sz w:val="28"/>
                <w:szCs w:val="28"/>
              </w:rPr>
              <w:t>：免费。</w:t>
            </w:r>
          </w:p>
        </w:tc>
      </w:tr>
      <w:tr w14:paraId="54D76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20625594">
            <w:pPr>
              <w:spacing w:after="0" w:line="360" w:lineRule="auto"/>
              <w:jc w:val="center"/>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49.2</w:t>
            </w:r>
          </w:p>
        </w:tc>
        <w:tc>
          <w:tcPr>
            <w:tcW w:w="7751" w:type="dxa"/>
            <w:vAlign w:val="center"/>
          </w:tcPr>
          <w:p w14:paraId="19DF1D8E">
            <w:pPr>
              <w:spacing w:after="0"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投标人应在法定质疑期内针对同一采购程序环节的质疑次数：一次</w:t>
            </w:r>
          </w:p>
        </w:tc>
      </w:tr>
      <w:tr w14:paraId="0386E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23" w:hRule="atLeast"/>
        </w:trPr>
        <w:tc>
          <w:tcPr>
            <w:tcW w:w="952" w:type="dxa"/>
            <w:vAlign w:val="center"/>
          </w:tcPr>
          <w:p w14:paraId="1C59D644">
            <w:pPr>
              <w:spacing w:after="0" w:line="360" w:lineRule="auto"/>
              <w:jc w:val="center"/>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50</w:t>
            </w:r>
          </w:p>
        </w:tc>
        <w:tc>
          <w:tcPr>
            <w:tcW w:w="7751" w:type="dxa"/>
            <w:vAlign w:val="center"/>
          </w:tcPr>
          <w:p w14:paraId="11C9BE87">
            <w:pPr>
              <w:spacing w:after="0" w:line="360" w:lineRule="auto"/>
              <w:rPr>
                <w:rFonts w:hint="default" w:ascii="仿宋_GB2312" w:hAnsi="Times New Roman" w:eastAsia="仿宋_GB2312" w:cs="Times New Roman"/>
                <w:color w:val="auto"/>
                <w:sz w:val="28"/>
                <w:szCs w:val="28"/>
              </w:rPr>
            </w:pPr>
            <w:r>
              <w:rPr>
                <w:rFonts w:ascii="仿宋_GB2312" w:hAnsi="Times New Roman" w:eastAsia="仿宋_GB2312" w:cs="Times New Roman"/>
                <w:color w:val="auto"/>
                <w:sz w:val="28"/>
                <w:szCs w:val="28"/>
              </w:rPr>
              <w:t>需要补充的其他内容</w:t>
            </w:r>
          </w:p>
        </w:tc>
      </w:tr>
      <w:tr w14:paraId="2757A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53ED3A9C">
            <w:pPr>
              <w:spacing w:after="0" w:line="360" w:lineRule="auto"/>
              <w:jc w:val="center"/>
              <w:rPr>
                <w:rFonts w:hint="default" w:ascii="仿宋_GB2312" w:hAnsi="Times New Roman" w:eastAsia="仿宋_GB2312" w:cs="Times New Roman"/>
                <w:color w:val="auto"/>
                <w:sz w:val="28"/>
                <w:szCs w:val="28"/>
                <w:lang w:val="en" w:eastAsia="zh-CN"/>
              </w:rPr>
            </w:pPr>
            <w:r>
              <w:rPr>
                <w:rFonts w:ascii="仿宋_GB2312" w:hAnsi="Times New Roman" w:eastAsia="仿宋_GB2312" w:cs="Times New Roman"/>
                <w:color w:val="auto"/>
                <w:sz w:val="28"/>
                <w:szCs w:val="28"/>
                <w:lang w:val="en-US" w:eastAsia="zh-CN"/>
              </w:rPr>
              <w:t>50</w:t>
            </w:r>
            <w:r>
              <w:rPr>
                <w:rFonts w:ascii="仿宋_GB2312" w:hAnsi="Times New Roman" w:eastAsia="仿宋_GB2312" w:cs="Times New Roman"/>
                <w:color w:val="auto"/>
                <w:sz w:val="28"/>
                <w:szCs w:val="28"/>
                <w:lang w:val="en" w:eastAsia="zh-CN"/>
              </w:rPr>
              <w:t>.</w:t>
            </w:r>
            <w:r>
              <w:rPr>
                <w:rFonts w:ascii="仿宋_GB2312" w:hAnsi="Times New Roman" w:eastAsia="仿宋_GB2312" w:cs="Times New Roman"/>
                <w:color w:val="auto"/>
                <w:sz w:val="28"/>
                <w:szCs w:val="28"/>
                <w:lang w:val="en-US" w:eastAsia="zh-CN"/>
              </w:rPr>
              <w:t>1</w:t>
            </w:r>
          </w:p>
        </w:tc>
        <w:tc>
          <w:tcPr>
            <w:tcW w:w="7751" w:type="dxa"/>
            <w:vAlign w:val="center"/>
          </w:tcPr>
          <w:p w14:paraId="0C0B1769">
            <w:pPr>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b/>
                <w:bCs/>
                <w:color w:val="auto"/>
                <w:sz w:val="28"/>
                <w:szCs w:val="28"/>
              </w:rPr>
              <w:fldChar w:fldCharType="begin"/>
            </w:r>
            <w:r>
              <w:rPr>
                <w:rFonts w:ascii="仿宋_GB2312" w:hAnsi="Times New Roman" w:eastAsia="仿宋_GB2312" w:cs="Times New Roman"/>
                <w:b/>
                <w:bCs/>
                <w:color w:val="auto"/>
                <w:sz w:val="28"/>
                <w:szCs w:val="28"/>
                <w:lang w:eastAsia="zh-CN"/>
              </w:rPr>
              <w:instrText xml:space="preserve"> eq \o\ac(</w:instrText>
            </w:r>
            <w:r>
              <w:rPr>
                <w:rFonts w:ascii="仿宋_GB2312" w:hAnsi="Times New Roman" w:eastAsia="仿宋_GB2312" w:cs="Times New Roman"/>
                <w:b/>
                <w:bCs/>
                <w:color w:val="auto"/>
                <w:position w:val="-4"/>
                <w:sz w:val="28"/>
                <w:szCs w:val="28"/>
                <w:lang w:eastAsia="zh-CN"/>
              </w:rPr>
              <w:instrText xml:space="preserve">□</w:instrText>
            </w:r>
            <w:r>
              <w:rPr>
                <w:rFonts w:ascii="仿宋_GB2312" w:hAnsi="Times New Roman" w:eastAsia="仿宋_GB2312" w:cs="Times New Roman"/>
                <w:b/>
                <w:bCs/>
                <w:color w:val="auto"/>
                <w:sz w:val="28"/>
                <w:szCs w:val="28"/>
                <w:lang w:eastAsia="zh-CN"/>
              </w:rPr>
              <w:instrText xml:space="preserve">)</w:instrText>
            </w:r>
            <w:r>
              <w:rPr>
                <w:rFonts w:ascii="仿宋_GB2312" w:hAnsi="Times New Roman" w:eastAsia="仿宋_GB2312" w:cs="Times New Roman"/>
                <w:b/>
                <w:bCs/>
                <w:color w:val="auto"/>
                <w:sz w:val="28"/>
                <w:szCs w:val="28"/>
              </w:rPr>
              <w:fldChar w:fldCharType="end"/>
            </w:r>
            <w:r>
              <w:rPr>
                <w:rFonts w:ascii="仿宋_GB2312" w:hAnsi="Times New Roman" w:eastAsia="仿宋_GB2312" w:cs="Times New Roman"/>
                <w:color w:val="auto"/>
                <w:sz w:val="28"/>
                <w:szCs w:val="28"/>
                <w:lang w:val="en-US" w:eastAsia="zh-CN"/>
              </w:rPr>
              <w:t>（1）如果为单一产品采购项目，提供相同品牌产品且通过资格审查、符合性审查的不同投标人参加同一合同项下投标的，按一家投标人计算，评审后得分最高的同品牌投标人获得中标人推荐资格；评审得分相同的，报价得分最高的获得中标人推荐资格，其他同品牌投标人不作为中标候选人。</w:t>
            </w:r>
          </w:p>
          <w:p w14:paraId="71C7AF99">
            <w:pPr>
              <w:spacing w:after="0"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b/>
                <w:bCs/>
                <w:color w:val="auto"/>
                <w:sz w:val="28"/>
                <w:szCs w:val="28"/>
              </w:rPr>
              <w:fldChar w:fldCharType="begin"/>
            </w:r>
            <w:r>
              <w:rPr>
                <w:rFonts w:ascii="仿宋_GB2312" w:hAnsi="Times New Roman" w:eastAsia="仿宋_GB2312" w:cs="Times New Roman"/>
                <w:b/>
                <w:bCs/>
                <w:color w:val="auto"/>
                <w:sz w:val="28"/>
                <w:szCs w:val="28"/>
                <w:lang w:eastAsia="zh-CN"/>
              </w:rPr>
              <w:instrText xml:space="preserve"> eq \o\ac(</w:instrText>
            </w:r>
            <w:r>
              <w:rPr>
                <w:rFonts w:ascii="仿宋_GB2312" w:hAnsi="Times New Roman" w:eastAsia="仿宋_GB2312" w:cs="Times New Roman"/>
                <w:b/>
                <w:bCs/>
                <w:color w:val="auto"/>
                <w:position w:val="-4"/>
                <w:sz w:val="28"/>
                <w:szCs w:val="28"/>
                <w:lang w:eastAsia="zh-CN"/>
              </w:rPr>
              <w:instrText xml:space="preserve">□,</w:instrText>
            </w:r>
            <w:r>
              <w:rPr>
                <w:rFonts w:ascii="仿宋_GB2312" w:hAnsi="Times New Roman" w:eastAsia="仿宋_GB2312" w:cs="Times New Roman"/>
                <w:b/>
                <w:bCs/>
                <w:color w:val="auto"/>
                <w:sz w:val="19"/>
                <w:szCs w:val="28"/>
                <w:lang w:eastAsia="zh-CN"/>
              </w:rPr>
              <w:instrText xml:space="preserve">√</w:instrText>
            </w:r>
            <w:r>
              <w:rPr>
                <w:rFonts w:ascii="仿宋_GB2312" w:hAnsi="Times New Roman" w:eastAsia="仿宋_GB2312" w:cs="Times New Roman"/>
                <w:b/>
                <w:bCs/>
                <w:color w:val="auto"/>
                <w:sz w:val="28"/>
                <w:szCs w:val="28"/>
                <w:lang w:eastAsia="zh-CN"/>
              </w:rPr>
              <w:instrText xml:space="preserve">)</w:instrText>
            </w:r>
            <w:r>
              <w:rPr>
                <w:rFonts w:ascii="仿宋_GB2312" w:hAnsi="Times New Roman" w:eastAsia="仿宋_GB2312" w:cs="Times New Roman"/>
                <w:b/>
                <w:bCs/>
                <w:color w:val="auto"/>
                <w:sz w:val="28"/>
                <w:szCs w:val="28"/>
              </w:rPr>
              <w:fldChar w:fldCharType="end"/>
            </w:r>
            <w:r>
              <w:rPr>
                <w:rFonts w:ascii="仿宋_GB2312" w:hAnsi="Times New Roman" w:eastAsia="仿宋_GB2312" w:cs="Times New Roman"/>
                <w:color w:val="auto"/>
                <w:sz w:val="28"/>
                <w:szCs w:val="28"/>
                <w:lang w:val="en-US" w:eastAsia="zh-CN"/>
              </w:rPr>
              <w:t>（2）非单一产品采购项目，将在招标文件中载明核心产品。多家投标人提供的核心产品品牌相同的，按（1）“单一产品采购项目”规定处理。</w:t>
            </w:r>
          </w:p>
          <w:p w14:paraId="0589CE4F">
            <w:pPr>
              <w:spacing w:after="0" w:line="360" w:lineRule="auto"/>
              <w:rPr>
                <w:rFonts w:hint="default" w:ascii="仿宋_GB2312" w:hAnsi="Times New Roman" w:eastAsia="仿宋_GB2312" w:cs="Times New Roman"/>
                <w:b/>
                <w:bCs/>
                <w:color w:val="auto"/>
                <w:sz w:val="28"/>
                <w:szCs w:val="28"/>
                <w:u w:val="single"/>
                <w:lang w:val="en-US" w:eastAsia="zh-CN"/>
              </w:rPr>
            </w:pPr>
            <w:r>
              <w:rPr>
                <w:rFonts w:ascii="仿宋_GB2312" w:hAnsi="Times New Roman" w:eastAsia="仿宋_GB2312" w:cs="Times New Roman"/>
                <w:b/>
                <w:bCs/>
                <w:color w:val="auto"/>
                <w:sz w:val="28"/>
                <w:szCs w:val="28"/>
                <w:lang w:val="en-US" w:eastAsia="zh-CN"/>
              </w:rPr>
              <w:t>核心产品：</w:t>
            </w:r>
            <w:r>
              <w:rPr>
                <w:rFonts w:ascii="仿宋_GB2312" w:hAnsi="Times New Roman" w:eastAsia="仿宋_GB2312" w:cs="Times New Roman"/>
                <w:b/>
                <w:bCs/>
                <w:color w:val="auto"/>
                <w:sz w:val="28"/>
                <w:szCs w:val="28"/>
                <w:u w:val="single"/>
                <w:lang w:val="en-US" w:eastAsia="zh-CN"/>
              </w:rPr>
              <w:t xml:space="preserve">  虚拟化服务器    </w:t>
            </w:r>
          </w:p>
        </w:tc>
      </w:tr>
      <w:tr w14:paraId="24F91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6ADDA570">
            <w:pPr>
              <w:spacing w:after="0" w:line="360" w:lineRule="auto"/>
              <w:jc w:val="center"/>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50.2</w:t>
            </w:r>
          </w:p>
        </w:tc>
        <w:tc>
          <w:tcPr>
            <w:tcW w:w="7751" w:type="dxa"/>
            <w:vAlign w:val="center"/>
          </w:tcPr>
          <w:p w14:paraId="0DB54660">
            <w:pPr>
              <w:spacing w:after="0" w:line="360" w:lineRule="auto"/>
              <w:rPr>
                <w:rFonts w:hint="default" w:ascii="仿宋_GB2312" w:hAnsi="Times New Roman" w:eastAsia="仿宋_GB2312" w:cs="Times New Roman"/>
                <w:b/>
                <w:bCs/>
                <w:color w:val="auto"/>
                <w:sz w:val="28"/>
                <w:szCs w:val="28"/>
                <w:lang w:val="en-US" w:eastAsia="zh-CN"/>
              </w:rPr>
            </w:pPr>
            <w:r>
              <w:rPr>
                <w:rFonts w:ascii="仿宋_GB2312" w:hAnsi="Times New Roman" w:eastAsia="仿宋_GB2312" w:cs="Times New Roman"/>
                <w:b/>
                <w:bCs/>
                <w:color w:val="auto"/>
                <w:kern w:val="0"/>
                <w:sz w:val="28"/>
                <w:szCs w:val="28"/>
                <w:lang w:val="en-US" w:eastAsia="zh-CN" w:bidi="ar"/>
              </w:rPr>
              <w:t>“</w:t>
            </w:r>
            <w:r>
              <w:rPr>
                <w:rFonts w:ascii="仿宋_GB2312" w:hAnsi="Times New Roman" w:eastAsia="仿宋_GB2312" w:cs="Times New Roman"/>
                <w:b/>
                <w:bCs/>
                <w:color w:val="auto"/>
                <w:sz w:val="28"/>
                <w:szCs w:val="28"/>
                <w:lang w:val="en-US" w:eastAsia="zh-CN"/>
              </w:rPr>
              <w:t>一号咨询”服务：</w:t>
            </w:r>
            <w:r>
              <w:rPr>
                <w:rFonts w:ascii="仿宋_GB2312" w:hAnsi="Times New Roman" w:eastAsia="仿宋_GB2312" w:cs="Times New Roman"/>
                <w:color w:val="auto"/>
                <w:kern w:val="0"/>
                <w:sz w:val="28"/>
                <w:szCs w:val="28"/>
                <w:lang w:val="en-US" w:eastAsia="zh-CN" w:bidi="ar"/>
              </w:rPr>
              <w:t>市场主体拨打0371-61335566即可咨询河南省公共资源交易中心业务的相关问题。</w:t>
            </w:r>
          </w:p>
        </w:tc>
      </w:tr>
    </w:tbl>
    <w:p w14:paraId="7E6E2A52">
      <w:pPr>
        <w:spacing w:line="540" w:lineRule="exact"/>
        <w:ind w:left="1077" w:hanging="539"/>
        <w:rPr>
          <w:rFonts w:hint="default" w:ascii="Times New Roman" w:hAnsi="Times New Roman" w:eastAsia="宋体" w:cs="Times New Roman"/>
          <w:color w:val="auto"/>
          <w:lang w:eastAsia="zh-CN"/>
        </w:rPr>
        <w:sectPr>
          <w:footerReference r:id="rId6" w:type="default"/>
          <w:pgSz w:w="11900" w:h="16840"/>
          <w:pgMar w:top="1440" w:right="1797" w:bottom="1440" w:left="1797" w:header="851" w:footer="992" w:gutter="0"/>
          <w:cols w:space="720" w:num="1"/>
        </w:sectPr>
      </w:pPr>
    </w:p>
    <w:p w14:paraId="2668DC79">
      <w:pPr>
        <w:pStyle w:val="2"/>
        <w:spacing w:before="0" w:after="0" w:line="360" w:lineRule="auto"/>
        <w:jc w:val="center"/>
        <w:rPr>
          <w:rFonts w:ascii="Times New Roman" w:hAnsi="Times New Roman" w:eastAsia="宋体"/>
          <w:color w:val="auto"/>
          <w:sz w:val="36"/>
          <w:szCs w:val="36"/>
          <w:lang w:val="en-US" w:eastAsia="zh-CN"/>
        </w:rPr>
      </w:pPr>
      <w:bookmarkStart w:id="93" w:name="_Toc15241"/>
      <w:bookmarkStart w:id="94" w:name="_Toc653624039"/>
      <w:bookmarkStart w:id="95" w:name="_Toc2118786865_WPSOffice_Level1"/>
      <w:bookmarkStart w:id="96" w:name="_Toc1484219635"/>
      <w:bookmarkStart w:id="97" w:name="_Toc755709613"/>
      <w:bookmarkStart w:id="98" w:name="_Toc754728636"/>
      <w:bookmarkStart w:id="99" w:name="_Toc1069896118_WPSOffice_Level1"/>
      <w:bookmarkStart w:id="100" w:name="_Toc1341383622_WPSOffice_Level1"/>
      <w:bookmarkStart w:id="101" w:name="_Toc194396107"/>
      <w:bookmarkStart w:id="102" w:name="_Toc457436968_WPSOffice_Level1"/>
      <w:bookmarkStart w:id="103" w:name="_Toc511855247"/>
      <w:bookmarkStart w:id="104" w:name="_Toc580298809"/>
      <w:bookmarkStart w:id="105" w:name="_Toc1426170078"/>
      <w:bookmarkStart w:id="106" w:name="_Toc540794793"/>
      <w:bookmarkStart w:id="107" w:name="_Toc309192439"/>
      <w:bookmarkStart w:id="108" w:name="_Toc672784450_WPSOffice_Level1"/>
      <w:r>
        <w:rPr>
          <w:rFonts w:ascii="Times New Roman" w:hAnsi="Times New Roman" w:eastAsia="宋体"/>
          <w:color w:val="auto"/>
          <w:sz w:val="36"/>
          <w:szCs w:val="36"/>
          <w:lang w:val="en-US" w:eastAsia="zh-CN"/>
        </w:rPr>
        <w:t xml:space="preserve">第三章 </w:t>
      </w:r>
      <w:r>
        <w:rPr>
          <w:rFonts w:ascii="Times New Roman" w:hAnsi="Times New Roman" w:eastAsia="宋体"/>
          <w:color w:val="auto"/>
          <w:sz w:val="36"/>
          <w:szCs w:val="36"/>
          <w:lang w:eastAsia="zh-CN"/>
        </w:rPr>
        <w:t>投标人须知</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2605EA5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09" w:name="_Toc1724158210_WPSOffice_Level2"/>
      <w:bookmarkStart w:id="110" w:name="_Toc1875035149"/>
      <w:bookmarkStart w:id="111" w:name="_Toc72595909_WPSOffice_Level2"/>
      <w:bookmarkStart w:id="112" w:name="_Toc940441734"/>
      <w:bookmarkStart w:id="113" w:name="_Toc1597513343"/>
      <w:bookmarkStart w:id="114" w:name="_Toc1698066625"/>
      <w:bookmarkStart w:id="115" w:name="_Toc753331058"/>
      <w:bookmarkStart w:id="116" w:name="_Toc795505054"/>
      <w:bookmarkStart w:id="117" w:name="_Toc1820077040_WPSOffice_Level2"/>
      <w:bookmarkStart w:id="118" w:name="_Toc587412607"/>
      <w:bookmarkStart w:id="119" w:name="_Toc1605126531"/>
      <w:bookmarkStart w:id="120" w:name="_Toc1420306246"/>
      <w:bookmarkStart w:id="121" w:name="_Toc225324457"/>
      <w:bookmarkStart w:id="122" w:name="_Toc1053718759_WPSOffice_Level2"/>
      <w:bookmarkStart w:id="123" w:name="_Toc6348"/>
      <w:r>
        <w:rPr>
          <w:rFonts w:hint="default" w:ascii="Times New Roman" w:hAnsi="Times New Roman" w:eastAsia="方正小标宋_GBK" w:cs="Times New Roman"/>
          <w:bCs/>
          <w:color w:val="auto"/>
          <w:kern w:val="0"/>
          <w:sz w:val="30"/>
          <w:szCs w:val="30"/>
          <w:lang w:val="en-US" w:eastAsia="zh-CN"/>
        </w:rPr>
        <w:t>一、说  明</w:t>
      </w:r>
      <w:bookmarkEnd w:id="109"/>
      <w:bookmarkEnd w:id="110"/>
      <w:bookmarkEnd w:id="111"/>
      <w:bookmarkEnd w:id="112"/>
      <w:bookmarkEnd w:id="113"/>
      <w:bookmarkEnd w:id="114"/>
      <w:bookmarkEnd w:id="115"/>
      <w:bookmarkEnd w:id="116"/>
      <w:bookmarkEnd w:id="117"/>
      <w:bookmarkEnd w:id="118"/>
      <w:bookmarkEnd w:id="119"/>
      <w:bookmarkEnd w:id="120"/>
    </w:p>
    <w:p w14:paraId="1FBB26AB">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eastAsia="zh-CN"/>
        </w:rPr>
        <w:t>1</w:t>
      </w:r>
      <w:r>
        <w:rPr>
          <w:rFonts w:ascii="仿宋_GB2312" w:hAnsi="Times New Roman" w:eastAsia="仿宋_GB2312" w:cs="Times New Roman"/>
          <w:b/>
          <w:bCs/>
          <w:color w:val="auto"/>
          <w:sz w:val="28"/>
          <w:szCs w:val="28"/>
          <w:lang w:val="en-US" w:eastAsia="zh-CN"/>
        </w:rPr>
        <w:t>.</w:t>
      </w:r>
      <w:r>
        <w:rPr>
          <w:rFonts w:ascii="仿宋_GB2312" w:hAnsi="Times New Roman" w:eastAsia="仿宋_GB2312" w:cs="Times New Roman"/>
          <w:b/>
          <w:bCs/>
          <w:color w:val="auto"/>
          <w:sz w:val="28"/>
          <w:szCs w:val="28"/>
          <w:lang w:eastAsia="zh-CN"/>
        </w:rPr>
        <w:t>适用范围</w:t>
      </w:r>
    </w:p>
    <w:p w14:paraId="0353DE66">
      <w:pPr>
        <w:spacing w:line="360" w:lineRule="auto"/>
        <w:rPr>
          <w:rFonts w:hint="default" w:ascii="仿宋_GB2312" w:hAnsi="Times New Roman" w:eastAsia="仿宋_GB2312" w:cs="Times New Roman"/>
          <w:color w:val="auto"/>
          <w:sz w:val="28"/>
          <w:szCs w:val="28"/>
          <w:lang w:eastAsia="zh-CN"/>
        </w:rPr>
      </w:pPr>
      <w:bookmarkStart w:id="124" w:name="_Toc196648728_WPSOffice_Level3"/>
      <w:bookmarkStart w:id="125" w:name="_Toc532150620_WPSOffice_Level3"/>
      <w:r>
        <w:rPr>
          <w:rFonts w:ascii="仿宋_GB2312" w:hAnsi="Times New Roman" w:eastAsia="仿宋_GB2312" w:cs="Times New Roman"/>
          <w:color w:val="auto"/>
          <w:sz w:val="28"/>
          <w:szCs w:val="28"/>
          <w:lang w:eastAsia="zh-CN"/>
        </w:rPr>
        <w:t>1.1本招标文件仅适用于本次公开招标所述的货物。</w:t>
      </w:r>
      <w:bookmarkEnd w:id="124"/>
      <w:bookmarkEnd w:id="125"/>
    </w:p>
    <w:p w14:paraId="584CF09B">
      <w:pPr>
        <w:spacing w:line="360" w:lineRule="auto"/>
        <w:rPr>
          <w:rFonts w:hint="default" w:ascii="仿宋_GB2312" w:hAnsi="Times New Roman" w:eastAsia="仿宋_GB2312" w:cs="Times New Roman"/>
          <w:color w:val="auto"/>
          <w:sz w:val="28"/>
          <w:szCs w:val="28"/>
          <w:lang w:eastAsia="zh-CN"/>
        </w:rPr>
      </w:pPr>
      <w:bookmarkStart w:id="126" w:name="_Toc900722191_WPSOffice_Level3"/>
      <w:bookmarkStart w:id="127" w:name="_Toc1359847161_WPSOffice_Level3"/>
      <w:r>
        <w:rPr>
          <w:rFonts w:ascii="仿宋_GB2312" w:hAnsi="Times New Roman" w:eastAsia="仿宋_GB2312" w:cs="Times New Roman"/>
          <w:color w:val="auto"/>
          <w:sz w:val="28"/>
          <w:szCs w:val="28"/>
          <w:lang w:eastAsia="zh-CN"/>
        </w:rPr>
        <w:t>1.2</w:t>
      </w:r>
      <w:r>
        <w:rPr>
          <w:rFonts w:ascii="仿宋_GB2312" w:hAnsi="Times New Roman" w:eastAsia="仿宋_GB2312" w:cs="Times New Roman"/>
          <w:color w:val="auto"/>
          <w:sz w:val="28"/>
          <w:szCs w:val="28"/>
          <w:lang w:val="en" w:eastAsia="zh-CN"/>
        </w:rPr>
        <w:t>采购项目</w:t>
      </w:r>
      <w:r>
        <w:rPr>
          <w:rFonts w:ascii="仿宋_GB2312" w:hAnsi="Times New Roman" w:eastAsia="仿宋_GB2312" w:cs="Times New Roman"/>
          <w:color w:val="auto"/>
          <w:sz w:val="28"/>
          <w:szCs w:val="28"/>
          <w:lang w:eastAsia="zh-CN"/>
        </w:rPr>
        <w:t>：见“投标人须知前附表”。</w:t>
      </w:r>
      <w:bookmarkEnd w:id="126"/>
      <w:bookmarkEnd w:id="127"/>
    </w:p>
    <w:p w14:paraId="74B14209">
      <w:pPr>
        <w:spacing w:line="360" w:lineRule="auto"/>
        <w:rPr>
          <w:rFonts w:hint="default" w:ascii="仿宋_GB2312" w:hAnsi="Times New Roman" w:eastAsia="仿宋_GB2312" w:cs="Times New Roman"/>
          <w:color w:val="auto"/>
          <w:sz w:val="28"/>
          <w:szCs w:val="28"/>
          <w:lang w:eastAsia="zh-CN"/>
        </w:rPr>
      </w:pPr>
      <w:bookmarkStart w:id="128" w:name="_Toc334765003_WPSOffice_Level3"/>
      <w:bookmarkStart w:id="129" w:name="_Toc1512585633_WPSOffice_Level3"/>
      <w:r>
        <w:rPr>
          <w:rFonts w:ascii="仿宋_GB2312" w:hAnsi="Times New Roman" w:eastAsia="仿宋_GB2312" w:cs="Times New Roman"/>
          <w:color w:val="auto"/>
          <w:sz w:val="28"/>
          <w:szCs w:val="28"/>
          <w:lang w:eastAsia="zh-CN"/>
        </w:rPr>
        <w:t>1.3采购</w:t>
      </w:r>
      <w:r>
        <w:rPr>
          <w:rFonts w:ascii="仿宋_GB2312" w:hAnsi="Times New Roman" w:eastAsia="仿宋_GB2312" w:cs="Times New Roman"/>
          <w:color w:val="auto"/>
          <w:sz w:val="28"/>
          <w:szCs w:val="28"/>
          <w:lang w:val="en" w:eastAsia="zh-CN"/>
        </w:rPr>
        <w:t>编号</w:t>
      </w:r>
      <w:r>
        <w:rPr>
          <w:rFonts w:ascii="仿宋_GB2312" w:hAnsi="Times New Roman" w:eastAsia="仿宋_GB2312" w:cs="Times New Roman"/>
          <w:color w:val="auto"/>
          <w:sz w:val="28"/>
          <w:szCs w:val="28"/>
          <w:lang w:eastAsia="zh-CN"/>
        </w:rPr>
        <w:t>：见“投标人须知前附表”。</w:t>
      </w:r>
      <w:bookmarkEnd w:id="128"/>
      <w:bookmarkEnd w:id="129"/>
    </w:p>
    <w:p w14:paraId="00FA3B9C">
      <w:pPr>
        <w:spacing w:line="360" w:lineRule="auto"/>
        <w:rPr>
          <w:rFonts w:hint="default" w:ascii="仿宋_GB2312" w:hAnsi="Times New Roman" w:eastAsia="仿宋_GB2312" w:cs="Times New Roman"/>
          <w:color w:val="auto"/>
          <w:sz w:val="28"/>
          <w:szCs w:val="28"/>
          <w:lang w:eastAsia="zh-CN"/>
        </w:rPr>
      </w:pPr>
      <w:bookmarkStart w:id="130" w:name="_Toc1513112147_WPSOffice_Level3"/>
      <w:bookmarkStart w:id="131" w:name="_Toc2062433103_WPSOffice_Level3"/>
      <w:r>
        <w:rPr>
          <w:rFonts w:ascii="仿宋_GB2312" w:hAnsi="Times New Roman" w:eastAsia="仿宋_GB2312" w:cs="Times New Roman"/>
          <w:color w:val="auto"/>
          <w:sz w:val="28"/>
          <w:szCs w:val="28"/>
          <w:lang w:eastAsia="zh-CN"/>
        </w:rPr>
        <w:t>1.4采购项目简要说明：见“投标人须知前附表”。</w:t>
      </w:r>
      <w:bookmarkEnd w:id="130"/>
      <w:bookmarkEnd w:id="131"/>
    </w:p>
    <w:p w14:paraId="37951182">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eastAsia="zh-CN"/>
        </w:rPr>
        <w:t>2</w:t>
      </w:r>
      <w:r>
        <w:rPr>
          <w:rFonts w:ascii="仿宋_GB2312" w:hAnsi="Times New Roman" w:eastAsia="仿宋_GB2312" w:cs="Times New Roman"/>
          <w:b/>
          <w:bCs/>
          <w:color w:val="auto"/>
          <w:sz w:val="28"/>
          <w:szCs w:val="28"/>
          <w:lang w:val="en-US" w:eastAsia="zh-CN"/>
        </w:rPr>
        <w:t>.</w:t>
      </w:r>
      <w:r>
        <w:rPr>
          <w:rFonts w:ascii="仿宋_GB2312" w:hAnsi="Times New Roman" w:eastAsia="仿宋_GB2312" w:cs="Times New Roman"/>
          <w:b/>
          <w:bCs/>
          <w:color w:val="auto"/>
          <w:sz w:val="28"/>
          <w:szCs w:val="28"/>
          <w:lang w:eastAsia="zh-CN"/>
        </w:rPr>
        <w:t>定义</w:t>
      </w:r>
    </w:p>
    <w:p w14:paraId="11628700">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2.1政府采购监督管理部门：河南省财政厅。</w:t>
      </w:r>
    </w:p>
    <w:p w14:paraId="59530EEF">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2.2采购人：</w:t>
      </w:r>
      <w:r>
        <w:rPr>
          <w:rFonts w:ascii="仿宋_GB2312" w:hAnsi="Times New Roman" w:eastAsia="仿宋_GB2312" w:cs="Times New Roman"/>
          <w:color w:val="auto"/>
          <w:sz w:val="28"/>
          <w:szCs w:val="28"/>
          <w:lang w:val="en-US" w:eastAsia="zh-CN"/>
        </w:rPr>
        <w:t>是指依法进行政府采购的国家机关、事业单位、团体组织。本项目的采购人见投标人须知前附表。</w:t>
      </w:r>
    </w:p>
    <w:p w14:paraId="07BC47E4">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2.3集中采购机构：“投标人须知前附表”中所述的受采购人委托组织集中采购的代理机构。</w:t>
      </w:r>
    </w:p>
    <w:p w14:paraId="546F67AC">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2.4集中采购：是指政府集中采购目录及限额标准规定的集中采购项目的采购活动。</w:t>
      </w:r>
    </w:p>
    <w:p w14:paraId="220D04A7">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2.5 投标人（供应商）：是指参加政府采购活动，向采购人提供货物、工程或者服务的法人、其他组织或者自然人。</w:t>
      </w:r>
    </w:p>
    <w:p w14:paraId="721BD933">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w:t>
      </w:r>
      <w:r>
        <w:rPr>
          <w:rFonts w:ascii="仿宋_GB2312" w:hAnsi="Times New Roman" w:eastAsia="仿宋_GB2312" w:cs="Times New Roman"/>
          <w:color w:val="auto"/>
          <w:sz w:val="28"/>
          <w:szCs w:val="28"/>
          <w:lang w:val="en-US" w:eastAsia="zh-CN"/>
        </w:rPr>
        <w:t>6</w:t>
      </w:r>
      <w:r>
        <w:rPr>
          <w:rFonts w:ascii="仿宋_GB2312" w:hAnsi="Times New Roman" w:eastAsia="仿宋_GB2312" w:cs="Times New Roman"/>
          <w:color w:val="auto"/>
          <w:sz w:val="28"/>
          <w:szCs w:val="28"/>
          <w:lang w:eastAsia="zh-CN"/>
        </w:rPr>
        <w:t>合格投标人：提供资格证明文件并通过资格审查的投标人。</w:t>
      </w:r>
    </w:p>
    <w:p w14:paraId="4A42EA1A">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2.6.1若投标人须知前附表中写明专门面向中小企业采购的，如投标人非中小企业，其投标将被认定为投标无效。</w:t>
      </w:r>
    </w:p>
    <w:p w14:paraId="3665080D">
      <w:pPr>
        <w:spacing w:line="360" w:lineRule="auto"/>
        <w:rPr>
          <w:rFonts w:hint="default" w:ascii="仿宋_GB2312" w:hAnsi="Times New Roman" w:eastAsia="仿宋_GB2312" w:cs="Times New Roman"/>
          <w:color w:val="auto"/>
          <w:lang w:val="en-US" w:eastAsia="zh-CN"/>
        </w:rPr>
      </w:pPr>
      <w:r>
        <w:rPr>
          <w:rFonts w:ascii="仿宋_GB2312" w:hAnsi="Times New Roman" w:eastAsia="仿宋_GB2312" w:cs="Times New Roman"/>
          <w:color w:val="auto"/>
          <w:sz w:val="28"/>
          <w:szCs w:val="28"/>
          <w:lang w:val="en-US" w:eastAsia="zh-CN"/>
        </w:rPr>
        <w:t>2.6.2</w:t>
      </w:r>
      <w:r>
        <w:rPr>
          <w:rFonts w:ascii="仿宋_GB2312" w:hAnsi="Times New Roman" w:eastAsia="仿宋_GB2312" w:cs="Times New Roman"/>
          <w:color w:val="auto"/>
          <w:sz w:val="28"/>
          <w:szCs w:val="28"/>
          <w:lang w:eastAsia="zh-CN"/>
        </w:rPr>
        <w:t>若投标人须知前附表中写明允许采购进口产品，但不限制满足招标文件要求的国内产品参与采购活动，投标人应保证所投产品可履行合法报通关手续进入中国关境内。若投标人须知前附表中未写明允许采购进口产品，如投标人提供产品为进口产品，其投标文件将被认定为无效投标文件。</w:t>
      </w:r>
    </w:p>
    <w:p w14:paraId="58CE5668">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w:t>
      </w:r>
      <w:r>
        <w:rPr>
          <w:rFonts w:ascii="仿宋_GB2312" w:hAnsi="Times New Roman" w:eastAsia="仿宋_GB2312" w:cs="Times New Roman"/>
          <w:color w:val="auto"/>
          <w:sz w:val="28"/>
          <w:szCs w:val="28"/>
          <w:lang w:val="en-US" w:eastAsia="zh-CN"/>
        </w:rPr>
        <w:t>7</w:t>
      </w:r>
      <w:r>
        <w:rPr>
          <w:rFonts w:ascii="仿宋_GB2312" w:hAnsi="Times New Roman" w:eastAsia="仿宋_GB2312" w:cs="Times New Roman"/>
          <w:color w:val="auto"/>
          <w:sz w:val="28"/>
          <w:szCs w:val="28"/>
          <w:lang w:eastAsia="zh-CN"/>
        </w:rPr>
        <w:t>投标文件：指投标人根据招标文件提交的所有文件。</w:t>
      </w:r>
    </w:p>
    <w:p w14:paraId="4F9316A2">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w:t>
      </w:r>
      <w:r>
        <w:rPr>
          <w:rFonts w:ascii="仿宋_GB2312" w:hAnsi="Times New Roman" w:eastAsia="仿宋_GB2312" w:cs="Times New Roman"/>
          <w:color w:val="auto"/>
          <w:sz w:val="28"/>
          <w:szCs w:val="28"/>
          <w:lang w:val="en-US" w:eastAsia="zh-CN"/>
        </w:rPr>
        <w:t>8</w:t>
      </w:r>
      <w:r>
        <w:rPr>
          <w:rFonts w:ascii="仿宋_GB2312" w:hAnsi="Times New Roman" w:eastAsia="仿宋_GB2312" w:cs="Times New Roman"/>
          <w:color w:val="auto"/>
          <w:sz w:val="28"/>
          <w:szCs w:val="28"/>
          <w:lang w:eastAsia="zh-CN"/>
        </w:rPr>
        <w:t>货物及相关服务：按项目需求及有关要求提供的全部货物及相关服务。</w:t>
      </w:r>
    </w:p>
    <w:p w14:paraId="6B1E3DF3">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eastAsia="zh-CN"/>
        </w:rPr>
        <w:t>3</w:t>
      </w:r>
      <w:r>
        <w:rPr>
          <w:rFonts w:ascii="仿宋_GB2312" w:hAnsi="Times New Roman" w:eastAsia="仿宋_GB2312" w:cs="Times New Roman"/>
          <w:b/>
          <w:bCs/>
          <w:color w:val="auto"/>
          <w:sz w:val="28"/>
          <w:szCs w:val="28"/>
          <w:lang w:val="en-US" w:eastAsia="zh-CN"/>
        </w:rPr>
        <w:t>.</w:t>
      </w:r>
      <w:r>
        <w:rPr>
          <w:rFonts w:ascii="仿宋_GB2312" w:hAnsi="Times New Roman" w:eastAsia="仿宋_GB2312" w:cs="Times New Roman"/>
          <w:b/>
          <w:bCs/>
          <w:color w:val="auto"/>
          <w:sz w:val="28"/>
          <w:szCs w:val="28"/>
          <w:lang w:eastAsia="zh-CN"/>
        </w:rPr>
        <w:t>投标费用</w:t>
      </w:r>
    </w:p>
    <w:p w14:paraId="286E84EF">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投标人须自行承担所有与参加投标有关的费用，无论投标的结果如何，采购人和集中采购机构在任何情况下均无义务和责任承担这些费用。</w:t>
      </w:r>
    </w:p>
    <w:p w14:paraId="0E22DF06">
      <w:pPr>
        <w:spacing w:line="360" w:lineRule="auto"/>
        <w:rPr>
          <w:rFonts w:hint="default" w:ascii="仿宋_GB2312" w:hAnsi="Times New Roman" w:eastAsia="仿宋_GB2312" w:cs="Times New Roman"/>
          <w:b/>
          <w:bCs/>
          <w:color w:val="auto"/>
          <w:sz w:val="28"/>
          <w:szCs w:val="28"/>
          <w:lang w:eastAsia="zh-CN"/>
        </w:rPr>
      </w:pPr>
      <w:bookmarkStart w:id="132" w:name="_Toc441214089"/>
      <w:bookmarkStart w:id="133" w:name="_Toc284337471"/>
      <w:bookmarkStart w:id="134" w:name="_Toc337225031"/>
      <w:r>
        <w:rPr>
          <w:rFonts w:ascii="仿宋_GB2312" w:hAnsi="Times New Roman" w:eastAsia="仿宋_GB2312" w:cs="Times New Roman"/>
          <w:b/>
          <w:bCs/>
          <w:color w:val="auto"/>
          <w:sz w:val="28"/>
          <w:szCs w:val="28"/>
          <w:lang w:eastAsia="zh-CN"/>
        </w:rPr>
        <w:t>4</w:t>
      </w:r>
      <w:r>
        <w:rPr>
          <w:rFonts w:ascii="仿宋_GB2312" w:hAnsi="Times New Roman" w:eastAsia="仿宋_GB2312" w:cs="Times New Roman"/>
          <w:b/>
          <w:bCs/>
          <w:color w:val="auto"/>
          <w:sz w:val="28"/>
          <w:szCs w:val="28"/>
          <w:lang w:val="en-US" w:eastAsia="zh-CN"/>
        </w:rPr>
        <w:t>.</w:t>
      </w:r>
      <w:r>
        <w:rPr>
          <w:rFonts w:ascii="仿宋_GB2312" w:hAnsi="Times New Roman" w:eastAsia="仿宋_GB2312" w:cs="Times New Roman"/>
          <w:b/>
          <w:bCs/>
          <w:color w:val="auto"/>
          <w:sz w:val="28"/>
          <w:szCs w:val="28"/>
          <w:lang w:eastAsia="zh-CN"/>
        </w:rPr>
        <w:t>踏勘现场</w:t>
      </w:r>
      <w:bookmarkEnd w:id="132"/>
      <w:bookmarkEnd w:id="133"/>
      <w:bookmarkEnd w:id="134"/>
    </w:p>
    <w:p w14:paraId="26407A50">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4.1“投标人须知前附表”规定组织踏勘现场的，采购人按“投标人须知前附表”规定的时间、地点组织投标人踏勘项目现场。</w:t>
      </w:r>
    </w:p>
    <w:p w14:paraId="1A3D42E4">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4.2投标人踏勘现场发生的费用自理。</w:t>
      </w:r>
    </w:p>
    <w:p w14:paraId="4BECE29B">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4.3除采购人的原因外，投标人自行负责在踏勘现场中所发生的人员伤亡和财产损失。</w:t>
      </w:r>
    </w:p>
    <w:p w14:paraId="1B79F012">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4.4采购人在踏勘现场中介绍的项目现场和相关的周边环境情况，供投标人在编制投标文件时参考，采购人不对投标人据此作出的判断和决策负责。</w:t>
      </w:r>
    </w:p>
    <w:p w14:paraId="74B83D43">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eastAsia="zh-CN"/>
        </w:rPr>
        <w:t>5.知识产权</w:t>
      </w:r>
    </w:p>
    <w:p w14:paraId="4A29A0A3">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GB" w:eastAsia="zh-CN"/>
        </w:rPr>
        <w:t>所有涉及知识产权的成果，</w:t>
      </w:r>
      <w:r>
        <w:rPr>
          <w:rFonts w:ascii="仿宋_GB2312" w:hAnsi="Times New Roman" w:eastAsia="仿宋_GB2312" w:cs="Times New Roman"/>
          <w:color w:val="auto"/>
          <w:sz w:val="28"/>
          <w:szCs w:val="28"/>
          <w:lang w:eastAsia="zh-CN"/>
        </w:rPr>
        <w:t>投标人</w:t>
      </w:r>
      <w:r>
        <w:rPr>
          <w:rFonts w:ascii="仿宋_GB2312" w:hAnsi="Times New Roman" w:eastAsia="仿宋_GB2312" w:cs="Times New Roman"/>
          <w:color w:val="auto"/>
          <w:sz w:val="28"/>
          <w:szCs w:val="28"/>
          <w:lang w:val="en-GB" w:eastAsia="zh-CN"/>
        </w:rPr>
        <w:t>必须确保采购人拥有其合法的、不受限制的无偿使用权，并免受任何侵权诉讼或索偿，否则，由此产生的一切经济损失和法律责任由</w:t>
      </w:r>
      <w:r>
        <w:rPr>
          <w:rFonts w:ascii="仿宋_GB2312" w:hAnsi="Times New Roman" w:eastAsia="仿宋_GB2312" w:cs="Times New Roman"/>
          <w:color w:val="auto"/>
          <w:sz w:val="28"/>
          <w:szCs w:val="28"/>
          <w:lang w:eastAsia="zh-CN"/>
        </w:rPr>
        <w:t>投标人</w:t>
      </w:r>
      <w:r>
        <w:rPr>
          <w:rFonts w:ascii="仿宋_GB2312" w:hAnsi="Times New Roman" w:eastAsia="仿宋_GB2312" w:cs="Times New Roman"/>
          <w:color w:val="auto"/>
          <w:sz w:val="28"/>
          <w:szCs w:val="28"/>
          <w:lang w:val="en-GB" w:eastAsia="zh-CN"/>
        </w:rPr>
        <w:t>承担。</w:t>
      </w:r>
    </w:p>
    <w:p w14:paraId="05002747">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val="en-US" w:eastAsia="zh-CN"/>
        </w:rPr>
        <w:t>6.</w:t>
      </w:r>
      <w:r>
        <w:rPr>
          <w:rFonts w:ascii="仿宋_GB2312" w:hAnsi="Times New Roman" w:eastAsia="仿宋_GB2312" w:cs="Times New Roman"/>
          <w:b/>
          <w:bCs/>
          <w:color w:val="auto"/>
          <w:sz w:val="28"/>
          <w:szCs w:val="28"/>
          <w:lang w:eastAsia="zh-CN"/>
        </w:rPr>
        <w:t>联合体投标</w:t>
      </w:r>
    </w:p>
    <w:p w14:paraId="220F42F8">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6.1除非本项目明确要求不接受联合体形式投标外，两个或两个以上投标人可以组成一个联合体，以一个投标人的身份共同参加投标。</w:t>
      </w:r>
    </w:p>
    <w:p w14:paraId="4A0E275E">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6.2以联合体形式参加投标的，联合体各方均应当符合《政府采购法》第二十二条规定的条件，并应当向采购人提交联合协议，载明联合体各方承担的工作和义务。根据采购项目的特殊要求规定投标人特定条件的，联合体各方中至少应当有一方符合。</w:t>
      </w:r>
    </w:p>
    <w:p w14:paraId="34151BE6">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6.3联合体中有同类资质的投标人按照联合体分工承担相同工作的，应当按照资质等级较低的投标人确定资质等级。</w:t>
      </w:r>
    </w:p>
    <w:p w14:paraId="69BF0367">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6.4联合体投标的，可以由联合体中的牵头人或者共同提交投标承诺函，以牵头人名义提交投标承诺函的，对联合体各方均具有约束力。</w:t>
      </w:r>
    </w:p>
    <w:p w14:paraId="3FE29487">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6.5以联合体形式参加政府采购活动的，联合体各方不得再单独参加或者与其他投标人另外组成联合体参加同一合同项下的政府采购活动。</w:t>
      </w:r>
    </w:p>
    <w:p w14:paraId="3896852C">
      <w:pPr>
        <w:pStyle w:val="16"/>
        <w:spacing w:line="360" w:lineRule="auto"/>
        <w:rPr>
          <w:rFonts w:ascii="仿宋_GB2312" w:hAnsi="Times New Roman" w:eastAsia="仿宋_GB2312"/>
          <w:lang w:val="en" w:eastAsia="zh-CN"/>
        </w:rPr>
      </w:pPr>
      <w:r>
        <w:rPr>
          <w:rFonts w:hint="eastAsia" w:ascii="仿宋_GB2312" w:hAnsi="Times New Roman" w:eastAsia="仿宋_GB2312"/>
          <w:sz w:val="28"/>
          <w:szCs w:val="28"/>
          <w:lang w:val="en" w:eastAsia="zh-CN"/>
        </w:rPr>
        <w:t>6.6</w:t>
      </w:r>
      <w:r>
        <w:rPr>
          <w:rFonts w:hint="eastAsia" w:ascii="仿宋_GB2312" w:hAnsi="Times New Roman" w:eastAsia="仿宋_GB2312"/>
          <w:sz w:val="28"/>
          <w:szCs w:val="28"/>
          <w:lang w:val="en-US" w:eastAsia="zh-CN"/>
        </w:rPr>
        <w:t>是否允许联合体投标见投标人须知前附表。</w:t>
      </w:r>
    </w:p>
    <w:p w14:paraId="15F254CB">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eastAsia="zh-CN"/>
        </w:rPr>
        <w:t>7.保密</w:t>
      </w:r>
    </w:p>
    <w:p w14:paraId="5B23A040">
      <w:pPr>
        <w:spacing w:line="360" w:lineRule="auto"/>
        <w:rPr>
          <w:rFonts w:hint="default" w:ascii="仿宋_GB2312" w:hAnsi="Times New Roman" w:eastAsia="仿宋_GB2312" w:cs="Times New Roman"/>
          <w:sz w:val="28"/>
          <w:szCs w:val="28"/>
          <w:lang w:eastAsia="zh-CN"/>
        </w:rPr>
      </w:pPr>
      <w:r>
        <w:rPr>
          <w:rFonts w:ascii="仿宋_GB2312" w:hAnsi="Times New Roman" w:eastAsia="仿宋_GB2312" w:cs="Times New Roman"/>
          <w:sz w:val="28"/>
          <w:szCs w:val="28"/>
          <w:lang w:eastAsia="zh-CN"/>
        </w:rPr>
        <w:t>参与招标投标活动的各方应对招标文件和投标文件中的商业和技术等秘密保密，违者应对由此造成的后果承担法律责任。</w:t>
      </w:r>
    </w:p>
    <w:p w14:paraId="0458BADB">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eastAsia="zh-CN"/>
        </w:rPr>
        <w:t>8.市场主体信息库</w:t>
      </w:r>
    </w:p>
    <w:p w14:paraId="17B2A74E">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（1）投标人应及时对入库信息进行补充、更新，若投标人提供虚假信息或未及时对入库信息进行补充、更新，由投标人承担全部责任。</w:t>
      </w:r>
    </w:p>
    <w:p w14:paraId="0A167002">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（2）投标人可将本项目评审涉及到的资质、业绩、人员、获奖、证书、纳税、社保等信息补充到其市场主体信息库中。</w:t>
      </w:r>
    </w:p>
    <w:p w14:paraId="65960EE5">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eastAsia="zh-CN"/>
        </w:rPr>
        <w:t>9.采购信息的发布</w:t>
      </w:r>
    </w:p>
    <w:p w14:paraId="0DAC868A">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与本次采购活动相关的信息，将在《河南省政府采购网》《河南省公共资源交易中心网》上及时发布。</w:t>
      </w:r>
    </w:p>
    <w:p w14:paraId="7885854A">
      <w:pPr>
        <w:spacing w:line="360" w:lineRule="auto"/>
        <w:rPr>
          <w:rFonts w:hint="default" w:ascii="Times New Roman" w:hAnsi="Times New Roman" w:eastAsia="仿宋_GB2312" w:cs="Times New Roman"/>
          <w:color w:val="auto"/>
          <w:sz w:val="28"/>
          <w:szCs w:val="28"/>
          <w:lang w:eastAsia="zh-CN"/>
        </w:rPr>
      </w:pPr>
    </w:p>
    <w:p w14:paraId="12D40C9C">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35" w:name="_Toc1090042493_WPSOffice_Level2"/>
      <w:bookmarkStart w:id="136" w:name="_Toc601554517"/>
      <w:bookmarkStart w:id="137" w:name="_Toc1145263954"/>
      <w:bookmarkStart w:id="138" w:name="_Toc60779224"/>
      <w:bookmarkStart w:id="139" w:name="_Toc1613525329"/>
      <w:bookmarkStart w:id="140" w:name="_Toc2021756318"/>
      <w:bookmarkStart w:id="141" w:name="_Toc812246970"/>
      <w:bookmarkStart w:id="142" w:name="_Toc1035752825"/>
      <w:bookmarkStart w:id="143" w:name="_Toc28660129"/>
      <w:bookmarkStart w:id="144" w:name="_Toc1225442179_WPSOffice_Level2"/>
      <w:bookmarkStart w:id="145" w:name="_Toc923512225_WPSOffice_Level2"/>
      <w:bookmarkStart w:id="146" w:name="_Toc1045699149"/>
      <w:r>
        <w:rPr>
          <w:rFonts w:hint="default" w:ascii="Times New Roman" w:hAnsi="Times New Roman" w:eastAsia="方正小标宋_GBK" w:cs="Times New Roman"/>
          <w:bCs/>
          <w:color w:val="auto"/>
          <w:kern w:val="0"/>
          <w:sz w:val="30"/>
          <w:szCs w:val="30"/>
          <w:lang w:val="en-US" w:eastAsia="zh-CN"/>
        </w:rPr>
        <w:t>二、招标文件</w:t>
      </w:r>
      <w:bookmarkEnd w:id="135"/>
      <w:bookmarkEnd w:id="136"/>
      <w:bookmarkEnd w:id="137"/>
      <w:bookmarkEnd w:id="138"/>
      <w:bookmarkEnd w:id="139"/>
      <w:bookmarkEnd w:id="140"/>
      <w:bookmarkEnd w:id="141"/>
      <w:bookmarkEnd w:id="142"/>
      <w:bookmarkEnd w:id="143"/>
      <w:bookmarkEnd w:id="144"/>
      <w:bookmarkEnd w:id="145"/>
      <w:bookmarkEnd w:id="146"/>
    </w:p>
    <w:p w14:paraId="6F674A8E">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eastAsia="zh-CN"/>
        </w:rPr>
        <w:t>10.招标文件的组成</w:t>
      </w:r>
    </w:p>
    <w:p w14:paraId="524D4C4A">
      <w:pPr>
        <w:widowControl w:val="0"/>
        <w:spacing w:line="360" w:lineRule="auto"/>
        <w:ind w:left="1050" w:hanging="1050" w:hangingChars="375"/>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10.1   招标文件共八章，构成如下：</w:t>
      </w:r>
    </w:p>
    <w:p w14:paraId="0ECCF1D4">
      <w:pPr>
        <w:widowControl w:val="0"/>
        <w:numPr>
          <w:ilvl w:val="0"/>
          <w:numId w:val="1"/>
        </w:numPr>
        <w:spacing w:line="360" w:lineRule="auto"/>
        <w:ind w:left="901" w:leftChars="429"/>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 xml:space="preserve"> 投标邀请</w:t>
      </w:r>
    </w:p>
    <w:p w14:paraId="06F98EC6">
      <w:pPr>
        <w:widowControl w:val="0"/>
        <w:spacing w:line="360" w:lineRule="auto"/>
        <w:ind w:left="901" w:leftChars="429"/>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第二章  投标人须知前附表</w:t>
      </w:r>
    </w:p>
    <w:p w14:paraId="6AB6BDA8">
      <w:pPr>
        <w:widowControl w:val="0"/>
        <w:spacing w:line="360" w:lineRule="auto"/>
        <w:ind w:left="901" w:leftChars="429"/>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第三章  投标人须知</w:t>
      </w:r>
    </w:p>
    <w:p w14:paraId="4DBFD062">
      <w:pPr>
        <w:widowControl w:val="0"/>
        <w:spacing w:line="360" w:lineRule="auto"/>
        <w:ind w:left="901" w:leftChars="429"/>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第四章  资格证明文件格式</w:t>
      </w:r>
    </w:p>
    <w:p w14:paraId="7DD44C17">
      <w:pPr>
        <w:widowControl w:val="0"/>
        <w:spacing w:line="360" w:lineRule="auto"/>
        <w:ind w:left="901" w:leftChars="429"/>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第五章  投标文件格式</w:t>
      </w:r>
    </w:p>
    <w:p w14:paraId="4B74DF30">
      <w:pPr>
        <w:widowControl w:val="0"/>
        <w:spacing w:line="360" w:lineRule="auto"/>
        <w:ind w:left="901" w:leftChars="429"/>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第六章  项目需求及技术要求</w:t>
      </w:r>
    </w:p>
    <w:p w14:paraId="1DCC4840">
      <w:pPr>
        <w:widowControl w:val="0"/>
        <w:spacing w:line="360" w:lineRule="auto"/>
        <w:ind w:left="901" w:leftChars="429"/>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第七章  评标方法和标准</w:t>
      </w:r>
    </w:p>
    <w:p w14:paraId="64CD2292">
      <w:pPr>
        <w:widowControl w:val="0"/>
        <w:spacing w:line="360" w:lineRule="auto"/>
        <w:ind w:left="901" w:leftChars="429"/>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第八章  政府采购合同</w:t>
      </w:r>
    </w:p>
    <w:p w14:paraId="75EE8515">
      <w:pPr>
        <w:widowControl w:val="0"/>
        <w:spacing w:line="360" w:lineRule="auto"/>
        <w:ind w:left="901" w:leftChars="429"/>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第九章  附件</w:t>
      </w:r>
    </w:p>
    <w:p w14:paraId="04B73A5F">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eastAsia="zh-CN"/>
        </w:rPr>
        <w:t>10.2</w:t>
      </w:r>
      <w:r>
        <w:rPr>
          <w:rFonts w:ascii="仿宋_GB2312" w:hAnsi="Times New Roman" w:eastAsia="仿宋_GB2312" w:cs="Times New Roman"/>
          <w:color w:val="auto"/>
          <w:sz w:val="28"/>
          <w:szCs w:val="28"/>
          <w:lang w:val="en-US" w:eastAsia="zh-CN"/>
        </w:rPr>
        <w:t>招标文件中有不一致的，有澄清的部分以最终的澄清更正内容为准；未澄清的，以投标人须知前附表为准；投标须知前表不涉及的内容，以编排在后的描述为准。</w:t>
      </w:r>
    </w:p>
    <w:p w14:paraId="7AC9E751">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10.3投标人应认真阅读招标文件所有的事项、格式、条款和技术规范等。如投标人没有按照招标文件要求提交全部资料，或者投标文件没有对招标文件的实质性要求做出响应，其投标被认定为投标无效。</w:t>
      </w:r>
    </w:p>
    <w:p w14:paraId="14EFAAC8">
      <w:pPr>
        <w:numPr>
          <w:ilvl w:val="0"/>
          <w:numId w:val="2"/>
        </w:num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b/>
          <w:bCs/>
          <w:color w:val="auto"/>
          <w:sz w:val="28"/>
          <w:szCs w:val="28"/>
        </w:rPr>
        <w:t>招标文件的澄清</w:t>
      </w:r>
      <w:r>
        <w:rPr>
          <w:rFonts w:ascii="仿宋_GB2312" w:hAnsi="Times New Roman" w:eastAsia="仿宋_GB2312" w:cs="Times New Roman"/>
          <w:b/>
          <w:bCs/>
          <w:color w:val="auto"/>
          <w:sz w:val="28"/>
          <w:szCs w:val="28"/>
          <w:lang w:val="en-US" w:eastAsia="zh-CN"/>
        </w:rPr>
        <w:t>与修改</w:t>
      </w:r>
    </w:p>
    <w:p w14:paraId="2DF5CDE5">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11.1投标人应仔细阅读和检查招标文件的全部内容。如有疑问，应及时向采购人或</w:t>
      </w:r>
      <w:r>
        <w:rPr>
          <w:rFonts w:ascii="仿宋_GB2312" w:hAnsi="Times New Roman" w:eastAsia="仿宋_GB2312" w:cs="Times New Roman"/>
          <w:color w:val="auto"/>
          <w:sz w:val="28"/>
          <w:szCs w:val="28"/>
          <w:lang w:val="en" w:eastAsia="zh-CN"/>
        </w:rPr>
        <w:t>集中采购机构</w:t>
      </w:r>
      <w:r>
        <w:rPr>
          <w:rFonts w:ascii="仿宋_GB2312" w:hAnsi="Times New Roman" w:eastAsia="仿宋_GB2312" w:cs="Times New Roman"/>
          <w:color w:val="auto"/>
          <w:sz w:val="28"/>
          <w:szCs w:val="28"/>
          <w:lang w:val="en-US" w:eastAsia="zh-CN"/>
        </w:rPr>
        <w:t>提出。</w:t>
      </w:r>
    </w:p>
    <w:p w14:paraId="340FA59C">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11.2采购人或</w:t>
      </w:r>
      <w:r>
        <w:rPr>
          <w:rFonts w:ascii="仿宋_GB2312" w:hAnsi="Times New Roman" w:eastAsia="仿宋_GB2312" w:cs="Times New Roman"/>
          <w:color w:val="auto"/>
          <w:sz w:val="28"/>
          <w:szCs w:val="28"/>
          <w:lang w:val="en" w:eastAsia="zh-CN"/>
        </w:rPr>
        <w:t>集中采购机构</w:t>
      </w:r>
      <w:r>
        <w:rPr>
          <w:rFonts w:ascii="仿宋_GB2312" w:hAnsi="Times New Roman" w:eastAsia="仿宋_GB2312" w:cs="Times New Roman"/>
          <w:color w:val="auto"/>
          <w:sz w:val="28"/>
          <w:szCs w:val="28"/>
          <w:lang w:val="en-US" w:eastAsia="zh-CN"/>
        </w:rPr>
        <w:t>可主动地或在解答投标人提出的澄清问题时对招标文件进行澄清（更正）或修改。将以发布澄清（更正）公告的方式，澄清（更正）或修改招标文件，澄清（更正）或修改的内容作为招标文件的组成部分。澄清（更正）或者修改的内容可能影响投标文件编制的，将在投标截止时间15日前，在原公告发布媒体上发布变更（更正）公告（或澄清公告），不足15日的将顺延递交投标文件的截止时间。</w:t>
      </w:r>
    </w:p>
    <w:p w14:paraId="465566CB">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11.3招标文件的澄清（更正）或修改在交易平台上公布给投标人，但不指明澄清问题的来源。</w:t>
      </w:r>
    </w:p>
    <w:p w14:paraId="4C818B67">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11.4对已发出的招标文件进行的澄清、更正或修改，澄清、更正或修改的内容将作为招标文件的组成部分。通过“</w:t>
      </w:r>
      <w:r>
        <w:fldChar w:fldCharType="begin"/>
      </w:r>
      <w:r>
        <w:rPr>
          <w:lang w:eastAsia="zh-CN"/>
        </w:rPr>
        <w:instrText xml:space="preserve"> HYPERLINK "http://www.ccgp-henan.gov.cn)和河南省政府采购网河南省公共资源交易网" </w:instrText>
      </w:r>
      <w:r>
        <w:fldChar w:fldCharType="separate"/>
      </w:r>
      <w:r>
        <w:rPr>
          <w:rFonts w:ascii="仿宋_GB2312" w:hAnsi="Times New Roman" w:eastAsia="仿宋_GB2312" w:cs="Times New Roman"/>
          <w:color w:val="auto"/>
          <w:sz w:val="28"/>
          <w:szCs w:val="28"/>
          <w:lang w:val="en-US" w:eastAsia="zh-CN"/>
        </w:rPr>
        <w:t>河南省政府采购网”（zfcg.henan.gov.cn）“河南省公共资源交易网</w:t>
      </w:r>
      <w:r>
        <w:rPr>
          <w:rFonts w:ascii="仿宋_GB2312" w:hAnsi="Times New Roman" w:eastAsia="仿宋_GB2312" w:cs="Times New Roman"/>
          <w:color w:val="auto"/>
          <w:sz w:val="28"/>
          <w:szCs w:val="28"/>
          <w:lang w:val="en-US" w:eastAsia="zh-CN"/>
        </w:rPr>
        <w:fldChar w:fldCharType="end"/>
      </w:r>
      <w:r>
        <w:rPr>
          <w:rFonts w:ascii="仿宋_GB2312" w:hAnsi="Times New Roman" w:eastAsia="仿宋_GB2312" w:cs="Times New Roman"/>
          <w:color w:val="auto"/>
          <w:sz w:val="28"/>
          <w:szCs w:val="28"/>
          <w:lang w:val="en-US" w:eastAsia="zh-CN"/>
        </w:rPr>
        <w:t>”（</w:t>
      </w:r>
      <w:r>
        <w:rPr>
          <w:rFonts w:hint="default" w:ascii="仿宋_GB2312" w:hAnsi="Times New Roman" w:eastAsia="仿宋_GB2312" w:cs="Times New Roman"/>
          <w:color w:val="auto"/>
          <w:sz w:val="28"/>
          <w:szCs w:val="28"/>
          <w:lang w:val="en-US" w:eastAsia="zh-CN"/>
        </w:rPr>
        <w:t>hnsggzyjy.henan.gov.cn</w:t>
      </w:r>
      <w:r>
        <w:rPr>
          <w:rFonts w:ascii="仿宋_GB2312" w:hAnsi="Times New Roman" w:eastAsia="仿宋_GB2312" w:cs="Times New Roman"/>
          <w:color w:val="auto"/>
          <w:sz w:val="28"/>
          <w:szCs w:val="28"/>
          <w:lang w:val="en-US" w:eastAsia="zh-CN"/>
        </w:rPr>
        <w:t>）网站“变更（澄清或更正）公告”和系统内部“答疑文件”告知投标人，各投标人重新下载最新的答疑、变更（澄清或更正）文件，以此编制投标文件。</w:t>
      </w:r>
    </w:p>
    <w:p w14:paraId="73BF02F2">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11.5</w:t>
      </w:r>
      <w:bookmarkStart w:id="147" w:name="_Hlk86850585"/>
      <w:r>
        <w:rPr>
          <w:rFonts w:ascii="仿宋_GB2312" w:hAnsi="Times New Roman" w:eastAsia="仿宋_GB2312" w:cs="Times New Roman"/>
          <w:color w:val="auto"/>
          <w:sz w:val="28"/>
          <w:szCs w:val="28"/>
          <w:lang w:val="en-US" w:eastAsia="zh-CN"/>
        </w:rPr>
        <w:t>《河南省公共资源交易中心》</w:t>
      </w:r>
      <w:bookmarkEnd w:id="147"/>
      <w:r>
        <w:rPr>
          <w:rFonts w:ascii="仿宋_GB2312" w:hAnsi="Times New Roman" w:eastAsia="仿宋_GB2312" w:cs="Times New Roman"/>
          <w:color w:val="auto"/>
          <w:sz w:val="28"/>
          <w:szCs w:val="28"/>
          <w:lang w:val="en-US" w:eastAsia="zh-CN"/>
        </w:rPr>
        <w:t>交易平台投标人信息在投标截止时间前具有保密性，投标人在投标截止时间前应当自行查看项目进展、答疑、变更（澄清或更正）通知、澄清及回复</w:t>
      </w:r>
      <w:bookmarkStart w:id="148" w:name="_Hlk86850663"/>
      <w:r>
        <w:rPr>
          <w:rFonts w:ascii="仿宋_GB2312" w:hAnsi="Times New Roman" w:eastAsia="仿宋_GB2312" w:cs="Times New Roman"/>
          <w:color w:val="auto"/>
          <w:sz w:val="28"/>
          <w:szCs w:val="28"/>
          <w:lang w:val="en-US" w:eastAsia="zh-CN"/>
        </w:rPr>
        <w:t>。</w:t>
      </w:r>
    </w:p>
    <w:bookmarkEnd w:id="148"/>
    <w:p w14:paraId="4496317D">
      <w:pPr>
        <w:spacing w:line="360" w:lineRule="auto"/>
        <w:jc w:val="left"/>
        <w:rPr>
          <w:rFonts w:hint="default" w:ascii="仿宋_GB2312" w:hAnsi="Times New Roman" w:eastAsia="仿宋_GB2312" w:cs="Times New Roman"/>
          <w:b/>
          <w:bCs/>
          <w:color w:val="auto"/>
          <w:sz w:val="28"/>
          <w:szCs w:val="28"/>
          <w:lang w:val="en-US" w:eastAsia="zh-CN"/>
        </w:rPr>
      </w:pPr>
      <w:r>
        <w:rPr>
          <w:rFonts w:ascii="仿宋_GB2312" w:hAnsi="Times New Roman" w:eastAsia="仿宋_GB2312" w:cs="Times New Roman"/>
          <w:b/>
          <w:bCs/>
          <w:color w:val="auto"/>
          <w:sz w:val="28"/>
          <w:szCs w:val="28"/>
          <w:lang w:eastAsia="zh-CN"/>
        </w:rPr>
        <w:t>12.</w:t>
      </w:r>
      <w:r>
        <w:rPr>
          <w:rFonts w:ascii="仿宋_GB2312" w:hAnsi="Times New Roman" w:eastAsia="仿宋_GB2312" w:cs="Times New Roman"/>
          <w:b/>
          <w:bCs/>
          <w:color w:val="auto"/>
          <w:sz w:val="28"/>
          <w:szCs w:val="28"/>
          <w:lang w:val="en-US" w:eastAsia="zh-CN"/>
        </w:rPr>
        <w:t>投标截止时间的顺延</w:t>
      </w:r>
    </w:p>
    <w:p w14:paraId="3619FB76">
      <w:pPr>
        <w:spacing w:line="360" w:lineRule="auto"/>
        <w:jc w:val="left"/>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为使投标人有足够的时间对招标文件的澄清或者修改部分进行研究而准备投标或因其他原因，采购人将依法决定是否顺延投标截止时间。</w:t>
      </w:r>
    </w:p>
    <w:p w14:paraId="546AB9CA">
      <w:pPr>
        <w:pStyle w:val="16"/>
        <w:rPr>
          <w:rFonts w:hint="eastAsia"/>
          <w:lang w:val="en-US" w:eastAsia="zh-CN"/>
        </w:rPr>
      </w:pPr>
    </w:p>
    <w:p w14:paraId="27E93016">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49" w:name="_Toc760401867"/>
      <w:bookmarkStart w:id="150" w:name="_Toc1317763722"/>
      <w:bookmarkStart w:id="151" w:name="_Toc587380469_WPSOffice_Level2"/>
      <w:bookmarkStart w:id="152" w:name="_Toc933740821_WPSOffice_Level2"/>
      <w:bookmarkStart w:id="153" w:name="_Toc1060332415"/>
      <w:bookmarkStart w:id="154" w:name="_Toc1106273699"/>
      <w:bookmarkStart w:id="155" w:name="_Toc868408535"/>
      <w:bookmarkStart w:id="156" w:name="_Toc1289807408"/>
      <w:bookmarkStart w:id="157" w:name="_Toc993246922"/>
      <w:bookmarkStart w:id="158" w:name="_Toc395976497"/>
      <w:bookmarkStart w:id="159" w:name="_Toc1574480330"/>
      <w:bookmarkStart w:id="160" w:name="_Toc1078664286_WPSOffice_Level2"/>
      <w:r>
        <w:rPr>
          <w:rFonts w:hint="default" w:ascii="Times New Roman" w:hAnsi="Times New Roman" w:eastAsia="方正小标宋_GBK" w:cs="Times New Roman"/>
          <w:bCs/>
          <w:color w:val="auto"/>
          <w:kern w:val="0"/>
          <w:sz w:val="30"/>
          <w:szCs w:val="30"/>
          <w:lang w:val="en-US" w:eastAsia="zh-CN"/>
        </w:rPr>
        <w:t>三、投标文件的编制</w:t>
      </w:r>
      <w:bookmarkEnd w:id="149"/>
      <w:bookmarkEnd w:id="150"/>
      <w:bookmarkEnd w:id="151"/>
      <w:bookmarkEnd w:id="152"/>
      <w:bookmarkEnd w:id="153"/>
      <w:bookmarkEnd w:id="154"/>
      <w:bookmarkEnd w:id="155"/>
      <w:bookmarkEnd w:id="156"/>
      <w:bookmarkEnd w:id="157"/>
      <w:bookmarkEnd w:id="158"/>
      <w:bookmarkEnd w:id="159"/>
      <w:bookmarkEnd w:id="160"/>
    </w:p>
    <w:p w14:paraId="756B5DBA">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eastAsia="zh-CN"/>
        </w:rPr>
        <w:t>13.投标语言</w:t>
      </w:r>
    </w:p>
    <w:p w14:paraId="75F69226">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投标文件以及投标人所有与采购人及集中采购机构就投标来往的函电均使用中文。投标人提供的外文资料应附有相应的中文译本，并以中文译本为准。</w:t>
      </w:r>
    </w:p>
    <w:p w14:paraId="658F5F94">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val="en-US" w:eastAsia="zh-CN"/>
        </w:rPr>
        <w:t>14.</w:t>
      </w:r>
      <w:r>
        <w:rPr>
          <w:rFonts w:ascii="仿宋_GB2312" w:hAnsi="Times New Roman" w:eastAsia="仿宋_GB2312" w:cs="Times New Roman"/>
          <w:b/>
          <w:bCs/>
          <w:color w:val="auto"/>
          <w:sz w:val="28"/>
          <w:szCs w:val="28"/>
          <w:lang w:eastAsia="zh-CN"/>
        </w:rPr>
        <w:t>投标文件计量单位</w:t>
      </w:r>
    </w:p>
    <w:p w14:paraId="004F9BBA">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除招标文件中有特殊要求外，投标文件中所使用的计量单位，应采用中华人民共和国法定计量单位。</w:t>
      </w:r>
    </w:p>
    <w:p w14:paraId="157CD8C6">
      <w:pPr>
        <w:spacing w:line="360" w:lineRule="auto"/>
        <w:rPr>
          <w:rFonts w:hint="default" w:ascii="仿宋_GB2312" w:hAnsi="Times New Roman" w:eastAsia="仿宋_GB2312" w:cs="Times New Roman"/>
          <w:b/>
          <w:bCs/>
          <w:color w:val="auto"/>
          <w:sz w:val="28"/>
          <w:szCs w:val="28"/>
          <w:lang w:val="en-US" w:eastAsia="zh-CN"/>
        </w:rPr>
      </w:pPr>
      <w:r>
        <w:rPr>
          <w:rFonts w:ascii="仿宋_GB2312" w:hAnsi="Times New Roman" w:eastAsia="仿宋_GB2312" w:cs="Times New Roman"/>
          <w:b/>
          <w:bCs/>
          <w:color w:val="auto"/>
          <w:sz w:val="28"/>
          <w:szCs w:val="28"/>
          <w:lang w:val="en-US" w:eastAsia="zh-CN"/>
        </w:rPr>
        <w:t>15.投标文件的组成</w:t>
      </w:r>
    </w:p>
    <w:p w14:paraId="1E96C3B2">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投标人应完整地按照招标文件提供的投标文件格式及要求编写投标文件。投标文件中资格审查和符合性审查涉及的事项不满足招标文件要求的，其投标将被认定为投标无效。</w:t>
      </w:r>
    </w:p>
    <w:p w14:paraId="3C099CAC">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b/>
          <w:bCs/>
          <w:color w:val="auto"/>
          <w:sz w:val="28"/>
          <w:szCs w:val="28"/>
          <w:lang w:val="en-US" w:eastAsia="zh-CN"/>
        </w:rPr>
        <w:t>16.</w:t>
      </w:r>
      <w:r>
        <w:rPr>
          <w:rFonts w:ascii="仿宋_GB2312" w:hAnsi="Times New Roman" w:eastAsia="仿宋_GB2312" w:cs="Times New Roman"/>
          <w:color w:val="auto"/>
          <w:sz w:val="28"/>
          <w:szCs w:val="28"/>
          <w:lang w:eastAsia="zh-CN"/>
        </w:rPr>
        <w:t>招标文件中的每个分包，是项目招标不可拆分的最小投标单元。投标人必须按各包分别编制各包的投标文件，并按各包分别提交相应的文件资料，拆包投标将视为漏项或非实质性响应，将承担其投标无效的风险。</w:t>
      </w:r>
      <w:r>
        <w:rPr>
          <w:rFonts w:ascii="仿宋_GB2312" w:hAnsi="Times New Roman" w:eastAsia="仿宋_GB2312" w:cs="Times New Roman"/>
          <w:color w:val="auto"/>
          <w:sz w:val="28"/>
          <w:szCs w:val="28"/>
          <w:lang w:val="en-US" w:eastAsia="zh-CN"/>
        </w:rPr>
        <w:t>投标人可对招标文件中一个或几个分包进行投标，除投标人须知前附表中另有规定。</w:t>
      </w:r>
    </w:p>
    <w:p w14:paraId="13858CD0">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eastAsia="zh-CN"/>
        </w:rPr>
        <w:t>17.投标文件编制</w:t>
      </w:r>
    </w:p>
    <w:p w14:paraId="3506056C">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17.1投标文件应按招标文件要求的内容编制投标文件，应当对招标文件提出的实质性要求和条件做出响应。</w:t>
      </w:r>
    </w:p>
    <w:p w14:paraId="22DE7A1E">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17.2投标人在编制投标文件时，涉及到投标人须知前附表中要求的资格审查证明文件，须上传到“资格审查材料”中。</w:t>
      </w:r>
    </w:p>
    <w:p w14:paraId="3A94A0A8">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val="en-US" w:eastAsia="zh-CN"/>
        </w:rPr>
        <w:t>18.</w:t>
      </w:r>
      <w:r>
        <w:rPr>
          <w:rFonts w:ascii="仿宋_GB2312" w:hAnsi="Times New Roman" w:eastAsia="仿宋_GB2312" w:cs="Times New Roman"/>
          <w:b/>
          <w:bCs/>
          <w:color w:val="auto"/>
          <w:sz w:val="28"/>
          <w:szCs w:val="28"/>
          <w:lang w:eastAsia="zh-CN"/>
        </w:rPr>
        <w:t>投标报价</w:t>
      </w:r>
    </w:p>
    <w:p w14:paraId="752554AB">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18.1投标人报价超过招标文件规定的预算金额或者分项、分包最高限价的，其投标将被认定为投标无效。</w:t>
      </w:r>
    </w:p>
    <w:p w14:paraId="5915B864">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1</w:t>
      </w:r>
      <w:r>
        <w:rPr>
          <w:rFonts w:ascii="仿宋_GB2312" w:hAnsi="Times New Roman" w:eastAsia="仿宋_GB2312" w:cs="Times New Roman"/>
          <w:color w:val="auto"/>
          <w:sz w:val="28"/>
          <w:szCs w:val="28"/>
          <w:lang w:val="en" w:eastAsia="zh-CN"/>
        </w:rPr>
        <w:t>8</w:t>
      </w:r>
      <w:r>
        <w:rPr>
          <w:rFonts w:ascii="仿宋_GB2312" w:hAnsi="Times New Roman" w:eastAsia="仿宋_GB2312" w:cs="Times New Roman"/>
          <w:color w:val="auto"/>
          <w:sz w:val="28"/>
          <w:szCs w:val="28"/>
          <w:lang w:eastAsia="zh-CN"/>
        </w:rPr>
        <w:t>.2投标人应在投标分项报价表上标明投标货物及相关服务的单价（如适用）和总价。</w:t>
      </w:r>
    </w:p>
    <w:p w14:paraId="246F7ABB">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1</w:t>
      </w:r>
      <w:r>
        <w:rPr>
          <w:rFonts w:ascii="仿宋_GB2312" w:hAnsi="Times New Roman" w:eastAsia="仿宋_GB2312" w:cs="Times New Roman"/>
          <w:color w:val="auto"/>
          <w:sz w:val="28"/>
          <w:szCs w:val="28"/>
          <w:lang w:val="en" w:eastAsia="zh-CN"/>
        </w:rPr>
        <w:t>8</w:t>
      </w:r>
      <w:r>
        <w:rPr>
          <w:rFonts w:ascii="仿宋_GB2312" w:hAnsi="Times New Roman" w:eastAsia="仿宋_GB2312" w:cs="Times New Roman"/>
          <w:color w:val="auto"/>
          <w:sz w:val="28"/>
          <w:szCs w:val="28"/>
          <w:lang w:eastAsia="zh-CN"/>
        </w:rPr>
        <w:t>.</w:t>
      </w:r>
      <w:r>
        <w:rPr>
          <w:rFonts w:ascii="仿宋_GB2312" w:hAnsi="Times New Roman" w:eastAsia="仿宋_GB2312" w:cs="Times New Roman"/>
          <w:color w:val="auto"/>
          <w:sz w:val="28"/>
          <w:szCs w:val="28"/>
          <w:lang w:val="en-US" w:eastAsia="zh-CN"/>
        </w:rPr>
        <w:t>3</w:t>
      </w:r>
      <w:r>
        <w:rPr>
          <w:rFonts w:ascii="仿宋_GB2312" w:hAnsi="Times New Roman" w:eastAsia="仿宋_GB2312" w:cs="Times New Roman"/>
          <w:color w:val="auto"/>
          <w:sz w:val="28"/>
          <w:szCs w:val="28"/>
          <w:lang w:eastAsia="zh-CN"/>
        </w:rPr>
        <w:t>投标人所报的各分项投标单价在合同履行过程中是固定不变的，不得以任何理由予以变更。任何包含价格调整要求的投标，其投标将被认定为投标无效。</w:t>
      </w:r>
    </w:p>
    <w:p w14:paraId="1F8B1664">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1</w:t>
      </w:r>
      <w:r>
        <w:rPr>
          <w:rFonts w:ascii="仿宋_GB2312" w:hAnsi="Times New Roman" w:eastAsia="仿宋_GB2312" w:cs="Times New Roman"/>
          <w:color w:val="auto"/>
          <w:sz w:val="28"/>
          <w:szCs w:val="28"/>
          <w:lang w:val="en" w:eastAsia="zh-CN"/>
        </w:rPr>
        <w:t>8</w:t>
      </w:r>
      <w:r>
        <w:rPr>
          <w:rFonts w:ascii="仿宋_GB2312" w:hAnsi="Times New Roman" w:eastAsia="仿宋_GB2312" w:cs="Times New Roman"/>
          <w:color w:val="auto"/>
          <w:sz w:val="28"/>
          <w:szCs w:val="28"/>
          <w:lang w:eastAsia="zh-CN"/>
        </w:rPr>
        <w:t>.</w:t>
      </w:r>
      <w:r>
        <w:rPr>
          <w:rFonts w:ascii="仿宋_GB2312" w:hAnsi="Times New Roman" w:eastAsia="仿宋_GB2312" w:cs="Times New Roman"/>
          <w:color w:val="auto"/>
          <w:sz w:val="28"/>
          <w:szCs w:val="28"/>
          <w:lang w:val="en-US" w:eastAsia="zh-CN"/>
        </w:rPr>
        <w:t>4</w:t>
      </w:r>
      <w:r>
        <w:rPr>
          <w:rFonts w:ascii="仿宋_GB2312" w:hAnsi="Times New Roman" w:eastAsia="仿宋_GB2312" w:cs="Times New Roman"/>
          <w:color w:val="auto"/>
          <w:sz w:val="28"/>
          <w:szCs w:val="28"/>
          <w:lang w:eastAsia="zh-CN"/>
        </w:rPr>
        <w:t>每种货物只能有一个投标报价。采购人不接受具有附加条件的报价。</w:t>
      </w:r>
    </w:p>
    <w:p w14:paraId="445FABAF">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val="en-US" w:eastAsia="zh-CN"/>
        </w:rPr>
        <w:t>19.</w:t>
      </w:r>
      <w:r>
        <w:rPr>
          <w:rFonts w:ascii="仿宋_GB2312" w:hAnsi="Times New Roman" w:eastAsia="仿宋_GB2312" w:cs="Times New Roman"/>
          <w:b/>
          <w:bCs/>
          <w:color w:val="auto"/>
          <w:sz w:val="28"/>
          <w:szCs w:val="28"/>
          <w:lang w:eastAsia="zh-CN"/>
        </w:rPr>
        <w:t>投标货币</w:t>
      </w:r>
    </w:p>
    <w:p w14:paraId="45B36340">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除非“投标人须知前附表”另有规定，投标人提供的所有货物及相关服务用人民币报价。</w:t>
      </w:r>
    </w:p>
    <w:p w14:paraId="37E515B3">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val="en-US" w:eastAsia="zh-CN"/>
        </w:rPr>
        <w:t>20.</w:t>
      </w:r>
      <w:r>
        <w:rPr>
          <w:rFonts w:ascii="仿宋_GB2312" w:hAnsi="Times New Roman" w:eastAsia="仿宋_GB2312" w:cs="Times New Roman"/>
          <w:b/>
          <w:bCs/>
          <w:color w:val="auto"/>
          <w:sz w:val="28"/>
          <w:szCs w:val="28"/>
          <w:lang w:eastAsia="zh-CN"/>
        </w:rPr>
        <w:t>投标人资格证明文件</w:t>
      </w:r>
    </w:p>
    <w:p w14:paraId="6CBE7DFD">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依据“投标人须知前附表”中的要求按“第四章”的规定提交相应的资格证明文件，作为投标文件的一部分，以证明其有资格进行投标和有能力履行合同。</w:t>
      </w:r>
    </w:p>
    <w:p w14:paraId="46314C91">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eastAsia="zh-CN"/>
        </w:rPr>
        <w:t>21</w:t>
      </w:r>
      <w:r>
        <w:rPr>
          <w:rFonts w:ascii="仿宋_GB2312" w:hAnsi="Times New Roman" w:eastAsia="仿宋_GB2312" w:cs="Times New Roman"/>
          <w:b/>
          <w:bCs/>
          <w:color w:val="auto"/>
          <w:sz w:val="28"/>
          <w:szCs w:val="28"/>
          <w:lang w:val="en-US" w:eastAsia="zh-CN"/>
        </w:rPr>
        <w:t>.</w:t>
      </w:r>
      <w:r>
        <w:rPr>
          <w:rFonts w:ascii="仿宋_GB2312" w:hAnsi="Times New Roman" w:eastAsia="仿宋_GB2312" w:cs="Times New Roman"/>
          <w:b/>
          <w:bCs/>
          <w:color w:val="auto"/>
          <w:sz w:val="28"/>
          <w:szCs w:val="28"/>
          <w:lang w:eastAsia="zh-CN"/>
        </w:rPr>
        <w:t>投标人</w:t>
      </w:r>
      <w:r>
        <w:rPr>
          <w:rFonts w:ascii="仿宋_GB2312" w:hAnsi="Times New Roman" w:eastAsia="仿宋_GB2312" w:cs="Times New Roman"/>
          <w:b/>
          <w:bCs/>
          <w:color w:val="auto"/>
          <w:sz w:val="28"/>
          <w:szCs w:val="28"/>
          <w:lang w:val="en-US" w:eastAsia="zh-CN"/>
        </w:rPr>
        <w:t>商务、</w:t>
      </w:r>
      <w:r>
        <w:rPr>
          <w:rFonts w:ascii="仿宋_GB2312" w:hAnsi="Times New Roman" w:eastAsia="仿宋_GB2312" w:cs="Times New Roman"/>
          <w:b/>
          <w:bCs/>
          <w:color w:val="auto"/>
          <w:sz w:val="28"/>
          <w:szCs w:val="28"/>
          <w:lang w:eastAsia="zh-CN"/>
        </w:rPr>
        <w:t>技术证明文件</w:t>
      </w:r>
    </w:p>
    <w:p w14:paraId="27B2BD73">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eastAsia="zh-CN"/>
        </w:rPr>
        <w:t>21.1</w:t>
      </w:r>
      <w:r>
        <w:rPr>
          <w:rFonts w:ascii="仿宋_GB2312" w:hAnsi="Times New Roman" w:eastAsia="仿宋_GB2312" w:cs="Times New Roman"/>
          <w:color w:val="auto"/>
          <w:sz w:val="28"/>
          <w:szCs w:val="28"/>
          <w:lang w:val="en-US" w:eastAsia="zh-CN"/>
        </w:rPr>
        <w:t>投标人应按招标文件要求提交证明文件，证明其投标标的符合招标文件规定。</w:t>
      </w:r>
    </w:p>
    <w:p w14:paraId="1DD855D1">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21.2上款所述的证明文件，可以是文字资料、图纸和数据。</w:t>
      </w:r>
    </w:p>
    <w:p w14:paraId="3265C55F">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eastAsia="zh-CN"/>
        </w:rPr>
        <w:t>22</w:t>
      </w:r>
      <w:r>
        <w:rPr>
          <w:rFonts w:ascii="仿宋_GB2312" w:hAnsi="Times New Roman" w:eastAsia="仿宋_GB2312" w:cs="Times New Roman"/>
          <w:b/>
          <w:bCs/>
          <w:color w:val="auto"/>
          <w:sz w:val="28"/>
          <w:szCs w:val="28"/>
          <w:lang w:val="en-US" w:eastAsia="zh-CN"/>
        </w:rPr>
        <w:t>.</w:t>
      </w:r>
      <w:r>
        <w:rPr>
          <w:rFonts w:ascii="仿宋_GB2312" w:hAnsi="Times New Roman" w:eastAsia="仿宋_GB2312" w:cs="Times New Roman"/>
          <w:b/>
          <w:bCs/>
          <w:color w:val="auto"/>
          <w:sz w:val="28"/>
          <w:szCs w:val="28"/>
          <w:lang w:eastAsia="zh-CN"/>
        </w:rPr>
        <w:t>投标函</w:t>
      </w:r>
    </w:p>
    <w:p w14:paraId="34572F5A">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22.1投标人应按招标文件规定的格式和内容提交投标函。</w:t>
      </w:r>
    </w:p>
    <w:p w14:paraId="6B42D339">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22.2下列任何情况发生时，按国家有关法律法规进行处理并按投标函的约定向采购人支付违约赔偿金：</w:t>
      </w:r>
    </w:p>
    <w:p w14:paraId="681CE09A">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w:t>
      </w:r>
      <w:r>
        <w:rPr>
          <w:rFonts w:ascii="仿宋_GB2312" w:hAnsi="Times New Roman" w:eastAsia="仿宋_GB2312" w:cs="Times New Roman"/>
          <w:color w:val="auto"/>
          <w:sz w:val="28"/>
          <w:szCs w:val="28"/>
          <w:lang w:val="en-US" w:eastAsia="zh-CN"/>
        </w:rPr>
        <w:t>1</w:t>
      </w:r>
      <w:r>
        <w:rPr>
          <w:rFonts w:ascii="仿宋_GB2312" w:hAnsi="Times New Roman" w:eastAsia="仿宋_GB2312" w:cs="Times New Roman"/>
          <w:color w:val="auto"/>
          <w:sz w:val="28"/>
          <w:szCs w:val="28"/>
          <w:lang w:eastAsia="zh-CN"/>
        </w:rPr>
        <w:t>）投标人在招标文件规定的投标有效期内实质上修改或撤回其投标；</w:t>
      </w:r>
    </w:p>
    <w:p w14:paraId="042E3DFD">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w:t>
      </w:r>
      <w:r>
        <w:rPr>
          <w:rFonts w:ascii="仿宋_GB2312" w:hAnsi="Times New Roman" w:eastAsia="仿宋_GB2312" w:cs="Times New Roman"/>
          <w:color w:val="auto"/>
          <w:sz w:val="28"/>
          <w:szCs w:val="28"/>
          <w:lang w:val="en-US" w:eastAsia="zh-CN"/>
        </w:rPr>
        <w:t>2</w:t>
      </w:r>
      <w:r>
        <w:rPr>
          <w:rFonts w:ascii="仿宋_GB2312" w:hAnsi="Times New Roman" w:eastAsia="仿宋_GB2312" w:cs="Times New Roman"/>
          <w:color w:val="auto"/>
          <w:sz w:val="28"/>
          <w:szCs w:val="28"/>
          <w:lang w:eastAsia="zh-CN"/>
        </w:rPr>
        <w:t>）在投标文件中有意提供虚假材料；</w:t>
      </w:r>
    </w:p>
    <w:p w14:paraId="1507B417">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w:t>
      </w:r>
      <w:r>
        <w:rPr>
          <w:rFonts w:ascii="仿宋_GB2312" w:hAnsi="Times New Roman" w:eastAsia="仿宋_GB2312" w:cs="Times New Roman"/>
          <w:color w:val="auto"/>
          <w:sz w:val="28"/>
          <w:szCs w:val="28"/>
          <w:lang w:val="en-US" w:eastAsia="zh-CN"/>
        </w:rPr>
        <w:t>3</w:t>
      </w:r>
      <w:r>
        <w:rPr>
          <w:rFonts w:ascii="仿宋_GB2312" w:hAnsi="Times New Roman" w:eastAsia="仿宋_GB2312" w:cs="Times New Roman"/>
          <w:color w:val="auto"/>
          <w:sz w:val="28"/>
          <w:szCs w:val="28"/>
          <w:lang w:eastAsia="zh-CN"/>
        </w:rPr>
        <w:t>）中标人拒绝在中标通知书规定的时间内签订合同。</w:t>
      </w:r>
    </w:p>
    <w:p w14:paraId="74E970C7">
      <w:pPr>
        <w:keepNext/>
        <w:keepLines/>
        <w:widowControl w:val="0"/>
        <w:autoSpaceDE w:val="0"/>
        <w:autoSpaceDN w:val="0"/>
        <w:adjustRightInd w:val="0"/>
        <w:spacing w:line="360" w:lineRule="auto"/>
        <w:jc w:val="left"/>
        <w:rPr>
          <w:rFonts w:hint="default" w:ascii="仿宋_GB2312" w:hAnsi="Times New Roman" w:eastAsia="仿宋_GB2312" w:cs="Times New Roman"/>
          <w:b/>
          <w:color w:val="auto"/>
          <w:kern w:val="0"/>
          <w:sz w:val="28"/>
          <w:szCs w:val="28"/>
          <w:lang w:val="en-US" w:eastAsia="zh-CN"/>
        </w:rPr>
      </w:pPr>
      <w:r>
        <w:rPr>
          <w:rFonts w:ascii="仿宋_GB2312" w:hAnsi="Times New Roman" w:eastAsia="仿宋_GB2312" w:cs="Times New Roman"/>
          <w:b/>
          <w:bCs/>
          <w:color w:val="auto"/>
          <w:sz w:val="28"/>
          <w:szCs w:val="28"/>
          <w:lang w:eastAsia="zh-CN"/>
        </w:rPr>
        <w:t>23</w:t>
      </w:r>
      <w:r>
        <w:rPr>
          <w:rFonts w:ascii="仿宋_GB2312" w:hAnsi="Times New Roman" w:eastAsia="仿宋_GB2312" w:cs="Times New Roman"/>
          <w:b/>
          <w:bCs/>
          <w:color w:val="auto"/>
          <w:sz w:val="28"/>
          <w:szCs w:val="28"/>
          <w:lang w:val="en-US" w:eastAsia="zh-CN"/>
        </w:rPr>
        <w:t>.</w:t>
      </w:r>
      <w:r>
        <w:rPr>
          <w:rFonts w:ascii="仿宋_GB2312" w:hAnsi="Times New Roman" w:eastAsia="仿宋_GB2312" w:cs="Times New Roman"/>
          <w:b/>
          <w:color w:val="auto"/>
          <w:kern w:val="0"/>
          <w:sz w:val="28"/>
          <w:szCs w:val="28"/>
          <w:lang w:val="en-US" w:eastAsia="zh-CN"/>
        </w:rPr>
        <w:t>投标保证金</w:t>
      </w:r>
    </w:p>
    <w:p w14:paraId="732AE0AD">
      <w:pPr>
        <w:spacing w:line="360" w:lineRule="auto"/>
        <w:rPr>
          <w:rFonts w:hint="default" w:ascii="仿宋_GB2312" w:hAnsi="Times New Roman" w:eastAsia="仿宋_GB2312" w:cs="Times New Roman"/>
          <w:b/>
          <w:bCs/>
          <w:color w:val="auto"/>
          <w:sz w:val="28"/>
          <w:szCs w:val="28"/>
          <w:lang w:val="en-US" w:eastAsia="zh-CN"/>
        </w:rPr>
      </w:pPr>
      <w:bookmarkStart w:id="161" w:name="_Toc975469575_WPSOffice_Level3"/>
      <w:r>
        <w:rPr>
          <w:rFonts w:ascii="仿宋_GB2312" w:hAnsi="Times New Roman" w:eastAsia="仿宋_GB2312" w:cs="Times New Roman"/>
          <w:bCs/>
          <w:color w:val="auto"/>
          <w:sz w:val="28"/>
          <w:szCs w:val="28"/>
          <w:lang w:val="en-US" w:eastAsia="zh-CN"/>
        </w:rPr>
        <w:t>本项目投标人无需提交投标保证金。</w:t>
      </w:r>
      <w:bookmarkEnd w:id="161"/>
    </w:p>
    <w:p w14:paraId="3D4A63B2">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val="en-US" w:eastAsia="zh-CN"/>
        </w:rPr>
        <w:t>24.</w:t>
      </w:r>
      <w:r>
        <w:rPr>
          <w:rFonts w:ascii="仿宋_GB2312" w:hAnsi="Times New Roman" w:eastAsia="仿宋_GB2312" w:cs="Times New Roman"/>
          <w:b/>
          <w:bCs/>
          <w:color w:val="auto"/>
          <w:sz w:val="28"/>
          <w:szCs w:val="28"/>
          <w:lang w:eastAsia="zh-CN"/>
        </w:rPr>
        <w:t>投标有效期</w:t>
      </w:r>
    </w:p>
    <w:p w14:paraId="66373CA7">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w:t>
      </w:r>
      <w:r>
        <w:rPr>
          <w:rFonts w:ascii="仿宋_GB2312" w:hAnsi="Times New Roman" w:eastAsia="仿宋_GB2312" w:cs="Times New Roman"/>
          <w:color w:val="auto"/>
          <w:sz w:val="28"/>
          <w:szCs w:val="28"/>
          <w:lang w:val="en-US" w:eastAsia="zh-CN"/>
        </w:rPr>
        <w:t>4</w:t>
      </w:r>
      <w:r>
        <w:rPr>
          <w:rFonts w:ascii="仿宋_GB2312" w:hAnsi="Times New Roman" w:eastAsia="仿宋_GB2312" w:cs="Times New Roman"/>
          <w:color w:val="auto"/>
          <w:sz w:val="28"/>
          <w:szCs w:val="28"/>
          <w:lang w:eastAsia="zh-CN"/>
        </w:rPr>
        <w:t>.1投标文件应自招标文件规定的投标截止日起，在“投标人须知前附表”规定的时间内保持有效。投标有效期不足的投标文件无效。</w:t>
      </w:r>
    </w:p>
    <w:p w14:paraId="3ACFC7B7">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w:t>
      </w:r>
      <w:r>
        <w:rPr>
          <w:rFonts w:ascii="仿宋_GB2312" w:hAnsi="Times New Roman" w:eastAsia="仿宋_GB2312" w:cs="Times New Roman"/>
          <w:color w:val="auto"/>
          <w:sz w:val="28"/>
          <w:szCs w:val="28"/>
          <w:lang w:val="en-US" w:eastAsia="zh-CN"/>
        </w:rPr>
        <w:t>4</w:t>
      </w:r>
      <w:r>
        <w:rPr>
          <w:rFonts w:ascii="仿宋_GB2312" w:hAnsi="Times New Roman" w:eastAsia="仿宋_GB2312" w:cs="Times New Roman"/>
          <w:color w:val="auto"/>
          <w:sz w:val="28"/>
          <w:szCs w:val="28"/>
          <w:lang w:eastAsia="zh-CN"/>
        </w:rPr>
        <w:t>.2在特殊情况下，采购人可征求投标人同意延长投标文件的有效期。这种要求与答复均应以书面形式提交。投标人可以拒绝这种要求，原有效期到期后</w:t>
      </w:r>
      <w:r>
        <w:rPr>
          <w:rFonts w:ascii="仿宋_GB2312" w:hAnsi="Times New Roman" w:eastAsia="仿宋_GB2312" w:cs="Times New Roman"/>
          <w:color w:val="auto"/>
          <w:sz w:val="28"/>
          <w:szCs w:val="28"/>
          <w:lang w:val="zh-CN" w:eastAsia="zh-CN"/>
        </w:rPr>
        <w:t>其投标文件失效</w:t>
      </w:r>
      <w:r>
        <w:rPr>
          <w:rFonts w:ascii="仿宋_GB2312" w:hAnsi="Times New Roman" w:eastAsia="仿宋_GB2312" w:cs="Times New Roman"/>
          <w:color w:val="auto"/>
          <w:sz w:val="28"/>
          <w:szCs w:val="28"/>
          <w:lang w:eastAsia="zh-CN"/>
        </w:rPr>
        <w:t>。同意延期的投标人将不会被要求也不允许修改其投标文件，</w:t>
      </w:r>
      <w:r>
        <w:rPr>
          <w:rFonts w:ascii="仿宋_GB2312" w:hAnsi="Times New Roman" w:eastAsia="仿宋_GB2312" w:cs="Times New Roman"/>
          <w:color w:val="auto"/>
          <w:sz w:val="28"/>
          <w:szCs w:val="28"/>
          <w:lang w:val="zh-CN" w:eastAsia="zh-CN"/>
        </w:rPr>
        <w:t>其投标文件</w:t>
      </w:r>
      <w:r>
        <w:rPr>
          <w:rFonts w:ascii="仿宋_GB2312" w:hAnsi="Times New Roman" w:eastAsia="仿宋_GB2312" w:cs="Times New Roman"/>
          <w:color w:val="auto"/>
          <w:sz w:val="28"/>
          <w:szCs w:val="28"/>
          <w:lang w:eastAsia="zh-CN"/>
        </w:rPr>
        <w:t>相应延长到新的有效期。</w:t>
      </w:r>
    </w:p>
    <w:p w14:paraId="56275247">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val="en-US" w:eastAsia="zh-CN"/>
        </w:rPr>
        <w:t>25.</w:t>
      </w:r>
      <w:r>
        <w:rPr>
          <w:rFonts w:ascii="仿宋_GB2312" w:hAnsi="Times New Roman" w:eastAsia="仿宋_GB2312" w:cs="Times New Roman"/>
          <w:b/>
          <w:bCs/>
          <w:color w:val="auto"/>
          <w:sz w:val="28"/>
          <w:szCs w:val="28"/>
          <w:lang w:eastAsia="zh-CN"/>
        </w:rPr>
        <w:t>投标文件形式和签署</w:t>
      </w:r>
    </w:p>
    <w:p w14:paraId="09610A94">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w:t>
      </w:r>
      <w:r>
        <w:rPr>
          <w:rFonts w:ascii="仿宋_GB2312" w:hAnsi="Times New Roman" w:eastAsia="仿宋_GB2312" w:cs="Times New Roman"/>
          <w:color w:val="auto"/>
          <w:sz w:val="28"/>
          <w:szCs w:val="28"/>
          <w:lang w:val="en-US" w:eastAsia="zh-CN"/>
        </w:rPr>
        <w:t>5</w:t>
      </w:r>
      <w:r>
        <w:rPr>
          <w:rFonts w:ascii="仿宋_GB2312" w:hAnsi="Times New Roman" w:eastAsia="仿宋_GB2312" w:cs="Times New Roman"/>
          <w:color w:val="auto"/>
          <w:sz w:val="28"/>
          <w:szCs w:val="28"/>
          <w:lang w:eastAsia="zh-CN"/>
        </w:rPr>
        <w:t>.1投标人须在投标截止时间前制作并提交加密的电子投标文件。</w:t>
      </w:r>
    </w:p>
    <w:p w14:paraId="302F512E">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w:t>
      </w:r>
      <w:r>
        <w:rPr>
          <w:rFonts w:ascii="仿宋_GB2312" w:hAnsi="Times New Roman" w:eastAsia="仿宋_GB2312" w:cs="Times New Roman"/>
          <w:color w:val="auto"/>
          <w:sz w:val="28"/>
          <w:szCs w:val="28"/>
          <w:lang w:val="en-US" w:eastAsia="zh-CN"/>
        </w:rPr>
        <w:t>5</w:t>
      </w:r>
      <w:r>
        <w:rPr>
          <w:rFonts w:ascii="仿宋_GB2312" w:hAnsi="Times New Roman" w:eastAsia="仿宋_GB2312" w:cs="Times New Roman"/>
          <w:color w:val="auto"/>
          <w:sz w:val="28"/>
          <w:szCs w:val="28"/>
          <w:lang w:eastAsia="zh-CN"/>
        </w:rPr>
        <w:t>.</w:t>
      </w:r>
      <w:r>
        <w:rPr>
          <w:rFonts w:ascii="仿宋_GB2312" w:hAnsi="Times New Roman" w:eastAsia="仿宋_GB2312" w:cs="Times New Roman"/>
          <w:color w:val="auto"/>
          <w:sz w:val="28"/>
          <w:szCs w:val="28"/>
          <w:lang w:val="en-US" w:eastAsia="zh-CN"/>
        </w:rPr>
        <w:t>2</w:t>
      </w:r>
      <w:r>
        <w:rPr>
          <w:rFonts w:ascii="仿宋_GB2312" w:hAnsi="Times New Roman" w:eastAsia="仿宋_GB2312" w:cs="Times New Roman"/>
          <w:color w:val="auto"/>
          <w:sz w:val="28"/>
          <w:szCs w:val="28"/>
          <w:lang w:eastAsia="zh-CN"/>
        </w:rPr>
        <w:t>投标人可登录“河南省公共资源交易中心（</w:t>
      </w:r>
      <w:r>
        <w:rPr>
          <w:rFonts w:ascii="仿宋_GB2312" w:hAnsi="Times New Roman" w:eastAsia="仿宋_GB2312" w:cs="Times New Roman"/>
          <w:color w:val="auto"/>
          <w:sz w:val="28"/>
          <w:szCs w:val="28"/>
          <w:lang w:val="en-US" w:eastAsia="zh-CN"/>
        </w:rPr>
        <w:t>hnsggzyjy.henan.gov.cn</w:t>
      </w:r>
      <w:r>
        <w:rPr>
          <w:rFonts w:ascii="仿宋_GB2312" w:hAnsi="Times New Roman" w:eastAsia="仿宋_GB2312" w:cs="Times New Roman"/>
          <w:color w:val="auto"/>
          <w:sz w:val="28"/>
          <w:szCs w:val="28"/>
          <w:lang w:eastAsia="zh-CN"/>
        </w:rPr>
        <w:t>）”网站查看公共服务—办事指南—</w:t>
      </w:r>
      <w:r>
        <w:rPr>
          <w:rFonts w:ascii="仿宋_GB2312" w:hAnsi="Times New Roman" w:eastAsia="仿宋_GB2312" w:cs="Times New Roman"/>
          <w:color w:val="auto"/>
          <w:sz w:val="28"/>
          <w:szCs w:val="28"/>
          <w:lang w:val="en-US" w:eastAsia="zh-CN"/>
        </w:rPr>
        <w:t>新交易平台使用手册（培训资料）</w:t>
      </w:r>
      <w:r>
        <w:rPr>
          <w:rFonts w:ascii="仿宋_GB2312" w:hAnsi="Times New Roman" w:eastAsia="仿宋_GB2312" w:cs="Times New Roman"/>
          <w:color w:val="auto"/>
          <w:sz w:val="28"/>
          <w:szCs w:val="28"/>
          <w:lang w:eastAsia="zh-CN"/>
        </w:rPr>
        <w:t>。</w:t>
      </w:r>
    </w:p>
    <w:p w14:paraId="4749E854">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w:t>
      </w:r>
      <w:r>
        <w:rPr>
          <w:rFonts w:ascii="仿宋_GB2312" w:hAnsi="Times New Roman" w:eastAsia="仿宋_GB2312" w:cs="Times New Roman"/>
          <w:color w:val="auto"/>
          <w:sz w:val="28"/>
          <w:szCs w:val="28"/>
          <w:lang w:val="en-US" w:eastAsia="zh-CN"/>
        </w:rPr>
        <w:t>5</w:t>
      </w:r>
      <w:r>
        <w:rPr>
          <w:rFonts w:ascii="仿宋_GB2312" w:hAnsi="Times New Roman" w:eastAsia="仿宋_GB2312" w:cs="Times New Roman"/>
          <w:color w:val="auto"/>
          <w:sz w:val="28"/>
          <w:szCs w:val="28"/>
          <w:lang w:eastAsia="zh-CN"/>
        </w:rPr>
        <w:t>.</w:t>
      </w:r>
      <w:r>
        <w:rPr>
          <w:rFonts w:ascii="仿宋_GB2312" w:hAnsi="Times New Roman" w:eastAsia="仿宋_GB2312" w:cs="Times New Roman"/>
          <w:color w:val="auto"/>
          <w:sz w:val="28"/>
          <w:szCs w:val="28"/>
          <w:lang w:val="en-US" w:eastAsia="zh-CN"/>
        </w:rPr>
        <w:t>3</w:t>
      </w:r>
      <w:r>
        <w:rPr>
          <w:rFonts w:ascii="仿宋_GB2312" w:hAnsi="Times New Roman" w:eastAsia="仿宋_GB2312" w:cs="Times New Roman"/>
          <w:color w:val="auto"/>
          <w:sz w:val="28"/>
          <w:szCs w:val="28"/>
          <w:lang w:val="zh-CN" w:eastAsia="zh-CN"/>
        </w:rPr>
        <w:t>投标人在制作电子投标文件时，按格式内容要求进行电子签章（包括企业电子签章、个人电子签章）</w:t>
      </w:r>
      <w:r>
        <w:rPr>
          <w:rFonts w:ascii="仿宋_GB2312" w:hAnsi="Times New Roman" w:eastAsia="仿宋_GB2312" w:cs="Times New Roman"/>
          <w:color w:val="auto"/>
          <w:sz w:val="28"/>
          <w:szCs w:val="28"/>
          <w:lang w:eastAsia="zh-CN"/>
        </w:rPr>
        <w:t>。</w:t>
      </w:r>
    </w:p>
    <w:p w14:paraId="382E5FC0">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w:t>
      </w:r>
      <w:r>
        <w:rPr>
          <w:rFonts w:ascii="仿宋_GB2312" w:hAnsi="Times New Roman" w:eastAsia="仿宋_GB2312" w:cs="Times New Roman"/>
          <w:color w:val="auto"/>
          <w:sz w:val="28"/>
          <w:szCs w:val="28"/>
          <w:lang w:val="en-US" w:eastAsia="zh-CN"/>
        </w:rPr>
        <w:t>5</w:t>
      </w:r>
      <w:r>
        <w:rPr>
          <w:rFonts w:ascii="仿宋_GB2312" w:hAnsi="Times New Roman" w:eastAsia="仿宋_GB2312" w:cs="Times New Roman"/>
          <w:color w:val="auto"/>
          <w:sz w:val="28"/>
          <w:szCs w:val="28"/>
          <w:lang w:eastAsia="zh-CN"/>
        </w:rPr>
        <w:t>.</w:t>
      </w:r>
      <w:r>
        <w:rPr>
          <w:rFonts w:ascii="仿宋_GB2312" w:hAnsi="Times New Roman" w:eastAsia="仿宋_GB2312" w:cs="Times New Roman"/>
          <w:color w:val="auto"/>
          <w:sz w:val="28"/>
          <w:szCs w:val="28"/>
          <w:lang w:val="en-US" w:eastAsia="zh-CN"/>
        </w:rPr>
        <w:t>4</w:t>
      </w:r>
      <w:r>
        <w:rPr>
          <w:rFonts w:ascii="仿宋_GB2312" w:hAnsi="Times New Roman" w:eastAsia="仿宋_GB2312" w:cs="Times New Roman"/>
          <w:color w:val="auto"/>
          <w:sz w:val="28"/>
          <w:szCs w:val="28"/>
          <w:lang w:eastAsia="zh-CN"/>
        </w:rPr>
        <w:t>投标人在制作电子投标文件时，开标一览表按照格式编辑，并作为电子开标系统上传的依据。</w:t>
      </w:r>
    </w:p>
    <w:p w14:paraId="55B73D7B">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w:t>
      </w:r>
      <w:r>
        <w:rPr>
          <w:rFonts w:ascii="仿宋_GB2312" w:hAnsi="Times New Roman" w:eastAsia="仿宋_GB2312" w:cs="Times New Roman"/>
          <w:color w:val="auto"/>
          <w:sz w:val="28"/>
          <w:szCs w:val="28"/>
          <w:lang w:val="en-US" w:eastAsia="zh-CN"/>
        </w:rPr>
        <w:t>5</w:t>
      </w:r>
      <w:r>
        <w:rPr>
          <w:rFonts w:ascii="仿宋_GB2312" w:hAnsi="Times New Roman" w:eastAsia="仿宋_GB2312" w:cs="Times New Roman"/>
          <w:color w:val="auto"/>
          <w:sz w:val="28"/>
          <w:szCs w:val="28"/>
          <w:lang w:eastAsia="zh-CN"/>
        </w:rPr>
        <w:t>.</w:t>
      </w:r>
      <w:r>
        <w:rPr>
          <w:rFonts w:ascii="仿宋_GB2312" w:hAnsi="Times New Roman" w:eastAsia="仿宋_GB2312" w:cs="Times New Roman"/>
          <w:color w:val="auto"/>
          <w:sz w:val="28"/>
          <w:szCs w:val="28"/>
          <w:lang w:val="en-US" w:eastAsia="zh-CN"/>
        </w:rPr>
        <w:t>5</w:t>
      </w:r>
      <w:r>
        <w:rPr>
          <w:rFonts w:ascii="仿宋_GB2312" w:hAnsi="Times New Roman" w:eastAsia="仿宋_GB2312" w:cs="Times New Roman"/>
          <w:color w:val="auto"/>
          <w:sz w:val="28"/>
          <w:szCs w:val="28"/>
          <w:lang w:eastAsia="zh-CN"/>
        </w:rPr>
        <w:t>投标文件以外的任何资料采购人和集中采购机构将拒收。</w:t>
      </w:r>
    </w:p>
    <w:p w14:paraId="263628FD">
      <w:pPr>
        <w:spacing w:line="360" w:lineRule="auto"/>
        <w:rPr>
          <w:rFonts w:hint="default" w:ascii="Times New Roman"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w:t>
      </w:r>
      <w:r>
        <w:rPr>
          <w:rFonts w:ascii="仿宋_GB2312" w:hAnsi="Times New Roman" w:eastAsia="仿宋_GB2312" w:cs="Times New Roman"/>
          <w:color w:val="auto"/>
          <w:sz w:val="28"/>
          <w:szCs w:val="28"/>
          <w:lang w:val="en-US" w:eastAsia="zh-CN"/>
        </w:rPr>
        <w:t>5</w:t>
      </w:r>
      <w:r>
        <w:rPr>
          <w:rFonts w:ascii="仿宋_GB2312" w:hAnsi="Times New Roman" w:eastAsia="仿宋_GB2312" w:cs="Times New Roman"/>
          <w:color w:val="auto"/>
          <w:sz w:val="28"/>
          <w:szCs w:val="28"/>
          <w:lang w:eastAsia="zh-CN"/>
        </w:rPr>
        <w:t>.</w:t>
      </w:r>
      <w:r>
        <w:rPr>
          <w:rFonts w:ascii="仿宋_GB2312" w:hAnsi="Times New Roman" w:eastAsia="仿宋_GB2312" w:cs="Times New Roman"/>
          <w:color w:val="auto"/>
          <w:sz w:val="28"/>
          <w:szCs w:val="28"/>
          <w:lang w:val="en-US" w:eastAsia="zh-CN"/>
        </w:rPr>
        <w:t>6</w:t>
      </w:r>
      <w:r>
        <w:rPr>
          <w:rFonts w:ascii="仿宋_GB2312" w:hAnsi="Times New Roman" w:eastAsia="仿宋_GB2312" w:cs="Times New Roman"/>
          <w:color w:val="auto"/>
          <w:sz w:val="28"/>
          <w:szCs w:val="28"/>
          <w:lang w:eastAsia="zh-CN"/>
        </w:rPr>
        <w:t>其他形式的投标文件一律不接受。</w:t>
      </w:r>
    </w:p>
    <w:p w14:paraId="771BF2E8">
      <w:pPr>
        <w:pStyle w:val="16"/>
        <w:rPr>
          <w:rFonts w:hint="eastAsia"/>
          <w:lang w:eastAsia="zh-CN"/>
        </w:rPr>
      </w:pPr>
    </w:p>
    <w:p w14:paraId="1EA5520E">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62" w:name="_Toc1958475392"/>
      <w:bookmarkStart w:id="163" w:name="_Toc99171812"/>
      <w:bookmarkStart w:id="164" w:name="_Toc340063481"/>
      <w:bookmarkStart w:id="165" w:name="_Toc1517317572"/>
      <w:bookmarkStart w:id="166" w:name="_Toc477778366"/>
      <w:bookmarkStart w:id="167" w:name="_Toc1602167768_WPSOffice_Level2"/>
      <w:bookmarkStart w:id="168" w:name="_Toc689398289_WPSOffice_Level2"/>
      <w:bookmarkStart w:id="169" w:name="_Toc269831806"/>
      <w:bookmarkStart w:id="170" w:name="_Toc2066227387"/>
      <w:bookmarkStart w:id="171" w:name="_Toc1446727086"/>
      <w:bookmarkStart w:id="172" w:name="_Toc814900001_WPSOffice_Level2"/>
      <w:bookmarkStart w:id="173" w:name="_Toc99139981"/>
      <w:r>
        <w:rPr>
          <w:rFonts w:hint="default" w:ascii="Times New Roman" w:hAnsi="Times New Roman" w:eastAsia="方正小标宋_GBK" w:cs="Times New Roman"/>
          <w:bCs/>
          <w:color w:val="auto"/>
          <w:kern w:val="0"/>
          <w:sz w:val="30"/>
          <w:szCs w:val="30"/>
          <w:lang w:val="en-US" w:eastAsia="zh-CN"/>
        </w:rPr>
        <w:t>四、投标文件的上传</w:t>
      </w:r>
      <w:bookmarkEnd w:id="162"/>
      <w:bookmarkEnd w:id="163"/>
      <w:bookmarkEnd w:id="164"/>
      <w:bookmarkEnd w:id="165"/>
      <w:bookmarkEnd w:id="166"/>
      <w:bookmarkEnd w:id="167"/>
      <w:bookmarkEnd w:id="168"/>
      <w:bookmarkEnd w:id="169"/>
      <w:bookmarkEnd w:id="170"/>
      <w:bookmarkEnd w:id="171"/>
      <w:bookmarkEnd w:id="172"/>
      <w:bookmarkEnd w:id="173"/>
    </w:p>
    <w:p w14:paraId="6BC727BB">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eastAsia="zh-CN"/>
        </w:rPr>
        <w:t>2</w:t>
      </w:r>
      <w:r>
        <w:rPr>
          <w:rFonts w:ascii="仿宋_GB2312" w:hAnsi="Times New Roman" w:eastAsia="仿宋_GB2312" w:cs="Times New Roman"/>
          <w:b/>
          <w:bCs/>
          <w:color w:val="auto"/>
          <w:sz w:val="28"/>
          <w:szCs w:val="28"/>
          <w:lang w:val="en-US" w:eastAsia="zh-CN"/>
        </w:rPr>
        <w:t>6</w:t>
      </w:r>
      <w:r>
        <w:rPr>
          <w:rFonts w:ascii="仿宋_GB2312" w:hAnsi="Times New Roman" w:eastAsia="仿宋_GB2312" w:cs="Times New Roman"/>
          <w:b/>
          <w:bCs/>
          <w:color w:val="auto"/>
          <w:sz w:val="28"/>
          <w:szCs w:val="28"/>
          <w:lang w:eastAsia="zh-CN"/>
        </w:rPr>
        <w:t>.投标文件的上传</w:t>
      </w:r>
    </w:p>
    <w:p w14:paraId="76594B8A">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w:t>
      </w:r>
      <w:r>
        <w:rPr>
          <w:rFonts w:ascii="仿宋_GB2312" w:hAnsi="Times New Roman" w:eastAsia="仿宋_GB2312" w:cs="Times New Roman"/>
          <w:color w:val="auto"/>
          <w:sz w:val="28"/>
          <w:szCs w:val="28"/>
          <w:lang w:val="en-US" w:eastAsia="zh-CN"/>
        </w:rPr>
        <w:t>6</w:t>
      </w:r>
      <w:r>
        <w:rPr>
          <w:rFonts w:ascii="仿宋_GB2312" w:hAnsi="Times New Roman" w:eastAsia="仿宋_GB2312" w:cs="Times New Roman"/>
          <w:color w:val="auto"/>
          <w:sz w:val="28"/>
          <w:szCs w:val="28"/>
          <w:lang w:eastAsia="zh-CN"/>
        </w:rPr>
        <w:t>.1加密电子投标文件的上传：见“投标人须知前附表”。</w:t>
      </w:r>
    </w:p>
    <w:p w14:paraId="4E67BD6E">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w:t>
      </w:r>
      <w:r>
        <w:rPr>
          <w:rFonts w:ascii="仿宋_GB2312" w:hAnsi="Times New Roman" w:eastAsia="仿宋_GB2312" w:cs="Times New Roman"/>
          <w:color w:val="auto"/>
          <w:sz w:val="28"/>
          <w:szCs w:val="28"/>
          <w:lang w:val="en-US" w:eastAsia="zh-CN"/>
        </w:rPr>
        <w:t>6</w:t>
      </w:r>
      <w:r>
        <w:rPr>
          <w:rFonts w:ascii="仿宋_GB2312" w:hAnsi="Times New Roman" w:eastAsia="仿宋_GB2312" w:cs="Times New Roman"/>
          <w:color w:val="auto"/>
          <w:sz w:val="28"/>
          <w:szCs w:val="28"/>
          <w:lang w:eastAsia="zh-CN"/>
        </w:rPr>
        <w:t>.2投标人在上传时认真检查上传投标文件是否完整、正确。投标人因交易中心投标系统问题无法上传电子投标文件时，请在工作时间与河南省公共资源交易中心联系，联系电话：0371-65915501。</w:t>
      </w:r>
    </w:p>
    <w:p w14:paraId="0A3C5AD7">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val="en-US" w:eastAsia="zh-CN"/>
        </w:rPr>
        <w:t>27.</w:t>
      </w:r>
      <w:r>
        <w:rPr>
          <w:rFonts w:ascii="仿宋_GB2312" w:hAnsi="Times New Roman" w:eastAsia="仿宋_GB2312" w:cs="Times New Roman"/>
          <w:b/>
          <w:bCs/>
          <w:color w:val="auto"/>
          <w:sz w:val="28"/>
          <w:szCs w:val="28"/>
          <w:lang w:eastAsia="zh-CN"/>
        </w:rPr>
        <w:t>投标截止时间</w:t>
      </w:r>
    </w:p>
    <w:p w14:paraId="782736A3">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w:t>
      </w:r>
      <w:r>
        <w:rPr>
          <w:rFonts w:ascii="仿宋_GB2312" w:hAnsi="Times New Roman" w:eastAsia="仿宋_GB2312" w:cs="Times New Roman"/>
          <w:color w:val="auto"/>
          <w:sz w:val="28"/>
          <w:szCs w:val="28"/>
          <w:lang w:val="en-US" w:eastAsia="zh-CN"/>
        </w:rPr>
        <w:t>7</w:t>
      </w:r>
      <w:r>
        <w:rPr>
          <w:rFonts w:ascii="仿宋_GB2312" w:hAnsi="Times New Roman" w:eastAsia="仿宋_GB2312" w:cs="Times New Roman"/>
          <w:color w:val="auto"/>
          <w:sz w:val="28"/>
          <w:szCs w:val="28"/>
          <w:lang w:eastAsia="zh-CN"/>
        </w:rPr>
        <w:t>.1投标人应在“投标人须知前附表”规定的投标截止时间前上传投标文件。</w:t>
      </w:r>
    </w:p>
    <w:p w14:paraId="0D0954D0">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w:t>
      </w:r>
      <w:r>
        <w:rPr>
          <w:rFonts w:ascii="仿宋_GB2312" w:hAnsi="Times New Roman" w:eastAsia="仿宋_GB2312" w:cs="Times New Roman"/>
          <w:color w:val="auto"/>
          <w:sz w:val="28"/>
          <w:szCs w:val="28"/>
          <w:lang w:val="en-US" w:eastAsia="zh-CN"/>
        </w:rPr>
        <w:t>7</w:t>
      </w:r>
      <w:r>
        <w:rPr>
          <w:rFonts w:ascii="仿宋_GB2312" w:hAnsi="Times New Roman" w:eastAsia="仿宋_GB2312" w:cs="Times New Roman"/>
          <w:color w:val="auto"/>
          <w:sz w:val="28"/>
          <w:szCs w:val="28"/>
          <w:lang w:eastAsia="zh-CN"/>
        </w:rPr>
        <w:t>.2采购人和集中采购机构可以按本章第12条规定，通过修改招标文件自行决定酌情延长投标截止期限。</w:t>
      </w:r>
    </w:p>
    <w:p w14:paraId="24E3823E">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val="en-US" w:eastAsia="zh-CN"/>
        </w:rPr>
        <w:t>28.</w:t>
      </w:r>
      <w:r>
        <w:rPr>
          <w:rFonts w:ascii="仿宋_GB2312" w:hAnsi="Times New Roman" w:eastAsia="仿宋_GB2312" w:cs="Times New Roman"/>
          <w:b/>
          <w:bCs/>
          <w:color w:val="auto"/>
          <w:sz w:val="28"/>
          <w:szCs w:val="28"/>
          <w:lang w:eastAsia="zh-CN"/>
        </w:rPr>
        <w:t>迟交的投标文件</w:t>
      </w:r>
    </w:p>
    <w:p w14:paraId="539E995A">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投标人在投标截止时间后上传的投标文件，将被拒绝。</w:t>
      </w:r>
    </w:p>
    <w:p w14:paraId="5F773C0C">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val="en-US" w:eastAsia="zh-CN"/>
        </w:rPr>
        <w:t>29.</w:t>
      </w:r>
      <w:r>
        <w:rPr>
          <w:rFonts w:ascii="仿宋_GB2312" w:hAnsi="Times New Roman" w:eastAsia="仿宋_GB2312" w:cs="Times New Roman"/>
          <w:b/>
          <w:bCs/>
          <w:color w:val="auto"/>
          <w:sz w:val="28"/>
          <w:szCs w:val="28"/>
          <w:lang w:eastAsia="zh-CN"/>
        </w:rPr>
        <w:t>投标文件的修改和撤回</w:t>
      </w:r>
    </w:p>
    <w:p w14:paraId="7EB64A92">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w:t>
      </w:r>
      <w:r>
        <w:rPr>
          <w:rFonts w:ascii="仿宋_GB2312" w:hAnsi="Times New Roman" w:eastAsia="仿宋_GB2312" w:cs="Times New Roman"/>
          <w:color w:val="auto"/>
          <w:sz w:val="28"/>
          <w:szCs w:val="28"/>
          <w:lang w:val="en-US" w:eastAsia="zh-CN"/>
        </w:rPr>
        <w:t>9</w:t>
      </w:r>
      <w:r>
        <w:rPr>
          <w:rFonts w:ascii="仿宋_GB2312" w:hAnsi="Times New Roman" w:eastAsia="仿宋_GB2312" w:cs="Times New Roman"/>
          <w:color w:val="auto"/>
          <w:sz w:val="28"/>
          <w:szCs w:val="28"/>
          <w:lang w:eastAsia="zh-CN"/>
        </w:rPr>
        <w:t>.1在投标截止时间前，投标人可以修改或撤回已上传的投标文件。</w:t>
      </w:r>
    </w:p>
    <w:p w14:paraId="06CD6F13">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w:t>
      </w:r>
      <w:r>
        <w:rPr>
          <w:rFonts w:ascii="仿宋_GB2312" w:hAnsi="Times New Roman" w:eastAsia="仿宋_GB2312" w:cs="Times New Roman"/>
          <w:color w:val="auto"/>
          <w:sz w:val="28"/>
          <w:szCs w:val="28"/>
          <w:lang w:val="en-US" w:eastAsia="zh-CN"/>
        </w:rPr>
        <w:t>9</w:t>
      </w:r>
      <w:r>
        <w:rPr>
          <w:rFonts w:ascii="仿宋_GB2312" w:hAnsi="Times New Roman" w:eastAsia="仿宋_GB2312" w:cs="Times New Roman"/>
          <w:color w:val="auto"/>
          <w:sz w:val="28"/>
          <w:szCs w:val="28"/>
          <w:lang w:eastAsia="zh-CN"/>
        </w:rPr>
        <w:t>.2在投标截止时间后，投标人不得修改或撤回其投标文件。</w:t>
      </w:r>
    </w:p>
    <w:p w14:paraId="7F258890">
      <w:pPr>
        <w:spacing w:line="360" w:lineRule="auto"/>
        <w:rPr>
          <w:rFonts w:hint="default" w:ascii="Times New Roman"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w:t>
      </w:r>
      <w:r>
        <w:rPr>
          <w:rFonts w:ascii="仿宋_GB2312" w:hAnsi="Times New Roman" w:eastAsia="仿宋_GB2312" w:cs="Times New Roman"/>
          <w:color w:val="auto"/>
          <w:sz w:val="28"/>
          <w:szCs w:val="28"/>
          <w:lang w:val="en-US" w:eastAsia="zh-CN"/>
        </w:rPr>
        <w:t>9</w:t>
      </w:r>
      <w:r>
        <w:rPr>
          <w:rFonts w:ascii="仿宋_GB2312" w:hAnsi="Times New Roman" w:eastAsia="仿宋_GB2312" w:cs="Times New Roman"/>
          <w:color w:val="auto"/>
          <w:sz w:val="28"/>
          <w:szCs w:val="28"/>
          <w:lang w:eastAsia="zh-CN"/>
        </w:rPr>
        <w:t>.3在招标文件规定的投标有效期内，投标人不得实质上修改或撤回其投标。</w:t>
      </w:r>
    </w:p>
    <w:p w14:paraId="4252F721">
      <w:pPr>
        <w:pStyle w:val="16"/>
        <w:rPr>
          <w:rFonts w:hint="eastAsia"/>
          <w:lang w:eastAsia="zh-CN"/>
        </w:rPr>
      </w:pPr>
    </w:p>
    <w:p w14:paraId="08C644F1">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74" w:name="_Toc960388964"/>
      <w:bookmarkStart w:id="175" w:name="_Toc874621790"/>
      <w:bookmarkStart w:id="176" w:name="_Toc516778272"/>
      <w:bookmarkStart w:id="177" w:name="_Toc705042226"/>
      <w:bookmarkStart w:id="178" w:name="_Toc1550393937_WPSOffice_Level2"/>
      <w:bookmarkStart w:id="179" w:name="_Toc1288741030"/>
      <w:bookmarkStart w:id="180" w:name="_Toc1239968650"/>
      <w:bookmarkStart w:id="181" w:name="_Toc516757662_WPSOffice_Level2"/>
      <w:bookmarkStart w:id="182" w:name="_Toc1130786219"/>
      <w:bookmarkStart w:id="183" w:name="_Toc1109071882"/>
      <w:bookmarkStart w:id="184" w:name="_Toc1744903856_WPSOffice_Level2"/>
      <w:bookmarkStart w:id="185" w:name="_Toc229139457"/>
      <w:r>
        <w:rPr>
          <w:rFonts w:hint="default" w:ascii="Times New Roman" w:hAnsi="Times New Roman" w:eastAsia="方正小标宋_GBK" w:cs="Times New Roman"/>
          <w:bCs/>
          <w:color w:val="auto"/>
          <w:kern w:val="0"/>
          <w:sz w:val="30"/>
          <w:szCs w:val="30"/>
          <w:lang w:val="en-US" w:eastAsia="zh-CN"/>
        </w:rPr>
        <w:t>五、开标与评标</w:t>
      </w:r>
      <w:bookmarkEnd w:id="174"/>
      <w:bookmarkEnd w:id="175"/>
      <w:bookmarkEnd w:id="176"/>
      <w:bookmarkEnd w:id="177"/>
      <w:bookmarkEnd w:id="178"/>
      <w:bookmarkEnd w:id="179"/>
      <w:bookmarkEnd w:id="180"/>
      <w:bookmarkEnd w:id="181"/>
      <w:bookmarkEnd w:id="182"/>
      <w:bookmarkEnd w:id="183"/>
      <w:bookmarkEnd w:id="184"/>
      <w:bookmarkEnd w:id="185"/>
    </w:p>
    <w:p w14:paraId="25157A70">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val="en-US" w:eastAsia="zh-CN"/>
        </w:rPr>
        <w:t>30</w:t>
      </w:r>
      <w:r>
        <w:rPr>
          <w:rFonts w:ascii="仿宋_GB2312" w:hAnsi="Times New Roman" w:eastAsia="仿宋_GB2312" w:cs="Times New Roman"/>
          <w:b/>
          <w:bCs/>
          <w:color w:val="auto"/>
          <w:sz w:val="28"/>
          <w:szCs w:val="28"/>
          <w:lang w:eastAsia="zh-CN"/>
        </w:rPr>
        <w:t>.开标</w:t>
      </w:r>
    </w:p>
    <w:p w14:paraId="46811C7D">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30</w:t>
      </w:r>
      <w:r>
        <w:rPr>
          <w:rFonts w:ascii="仿宋_GB2312" w:hAnsi="Times New Roman" w:eastAsia="仿宋_GB2312" w:cs="Times New Roman"/>
          <w:color w:val="auto"/>
          <w:sz w:val="28"/>
          <w:szCs w:val="28"/>
          <w:lang w:eastAsia="zh-CN"/>
        </w:rPr>
        <w:t>.1开标及解密方式：见“投标人须知前附表”。</w:t>
      </w:r>
    </w:p>
    <w:p w14:paraId="4BDBD1E5">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30</w:t>
      </w:r>
      <w:r>
        <w:rPr>
          <w:rFonts w:ascii="仿宋_GB2312" w:hAnsi="Times New Roman" w:eastAsia="仿宋_GB2312" w:cs="Times New Roman"/>
          <w:color w:val="auto"/>
          <w:sz w:val="28"/>
          <w:szCs w:val="28"/>
          <w:lang w:eastAsia="zh-CN"/>
        </w:rPr>
        <w:t>.2不见面开标大厅网址：见“投标人须知前附表”。</w:t>
      </w:r>
    </w:p>
    <w:p w14:paraId="7B9070D9">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30</w:t>
      </w:r>
      <w:r>
        <w:rPr>
          <w:rFonts w:ascii="仿宋_GB2312" w:hAnsi="Times New Roman" w:eastAsia="仿宋_GB2312" w:cs="Times New Roman"/>
          <w:color w:val="auto"/>
          <w:sz w:val="28"/>
          <w:szCs w:val="28"/>
          <w:lang w:eastAsia="zh-CN"/>
        </w:rPr>
        <w:t>.3开标时间和开标地点：见“投标人须知前附表”。</w:t>
      </w:r>
    </w:p>
    <w:p w14:paraId="23F2D2FD">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30</w:t>
      </w:r>
      <w:r>
        <w:rPr>
          <w:rFonts w:ascii="仿宋_GB2312" w:hAnsi="Times New Roman" w:eastAsia="仿宋_GB2312" w:cs="Times New Roman"/>
          <w:color w:val="auto"/>
          <w:sz w:val="28"/>
          <w:szCs w:val="28"/>
          <w:lang w:eastAsia="zh-CN"/>
        </w:rPr>
        <w:t>.4开标时，集中采购机构将通过网上开标系统公布投标人名称、投标价格以及其它有关内容。</w:t>
      </w:r>
    </w:p>
    <w:p w14:paraId="7E404416">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val="en-US" w:eastAsia="zh-CN"/>
        </w:rPr>
        <w:t>31.</w:t>
      </w:r>
      <w:r>
        <w:rPr>
          <w:rFonts w:ascii="仿宋_GB2312" w:hAnsi="Times New Roman" w:eastAsia="仿宋_GB2312" w:cs="Times New Roman"/>
          <w:b/>
          <w:bCs/>
          <w:color w:val="auto"/>
          <w:sz w:val="28"/>
          <w:szCs w:val="28"/>
          <w:lang w:eastAsia="zh-CN"/>
        </w:rPr>
        <w:t>资格审查</w:t>
      </w:r>
    </w:p>
    <w:p w14:paraId="2EB71FC9">
      <w:pPr>
        <w:spacing w:line="360" w:lineRule="auto"/>
        <w:rPr>
          <w:rFonts w:hint="default" w:ascii="仿宋_GB2312" w:hAnsi="Times New Roman" w:eastAsia="仿宋_GB2312" w:cs="Times New Roman"/>
          <w:color w:val="auto"/>
          <w:sz w:val="28"/>
          <w:szCs w:val="28"/>
          <w:lang w:eastAsia="zh-CN"/>
        </w:rPr>
      </w:pPr>
      <w:bookmarkStart w:id="186" w:name="_Toc694141672_WPSOffice_Level3"/>
      <w:bookmarkStart w:id="187" w:name="_Toc1584989513_WPSOffice_Level3"/>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1</w:t>
      </w:r>
      <w:r>
        <w:rPr>
          <w:rFonts w:ascii="仿宋_GB2312" w:hAnsi="Times New Roman" w:eastAsia="仿宋_GB2312" w:cs="Times New Roman"/>
          <w:color w:val="auto"/>
          <w:sz w:val="28"/>
          <w:szCs w:val="28"/>
          <w:lang w:eastAsia="zh-CN"/>
        </w:rPr>
        <w:t>.1开标结束后，采购人对投标人的资格进行审查。</w:t>
      </w:r>
      <w:bookmarkEnd w:id="186"/>
      <w:bookmarkEnd w:id="187"/>
    </w:p>
    <w:p w14:paraId="639B6781">
      <w:pPr>
        <w:spacing w:line="360" w:lineRule="auto"/>
        <w:rPr>
          <w:rFonts w:hint="default" w:ascii="仿宋_GB2312" w:hAnsi="Times New Roman" w:eastAsia="仿宋_GB2312" w:cs="Times New Roman"/>
          <w:color w:val="auto"/>
          <w:sz w:val="28"/>
          <w:szCs w:val="28"/>
          <w:lang w:eastAsia="zh-CN"/>
        </w:rPr>
      </w:pPr>
      <w:bookmarkStart w:id="188" w:name="_Toc1693296442_WPSOffice_Level3"/>
      <w:bookmarkStart w:id="189" w:name="_Toc1493406836_WPSOffice_Level3"/>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1</w:t>
      </w:r>
      <w:r>
        <w:rPr>
          <w:rFonts w:ascii="仿宋_GB2312" w:hAnsi="Times New Roman" w:eastAsia="仿宋_GB2312" w:cs="Times New Roman"/>
          <w:color w:val="auto"/>
          <w:sz w:val="28"/>
          <w:szCs w:val="28"/>
          <w:lang w:eastAsia="zh-CN"/>
        </w:rPr>
        <w:t>.2合格投标人不足3家的，不得评标。</w:t>
      </w:r>
      <w:bookmarkEnd w:id="188"/>
      <w:bookmarkEnd w:id="189"/>
    </w:p>
    <w:p w14:paraId="1080C0B1">
      <w:pPr>
        <w:spacing w:line="360" w:lineRule="auto"/>
        <w:rPr>
          <w:rFonts w:hint="default" w:ascii="仿宋_GB2312" w:hAnsi="Times New Roman" w:eastAsia="仿宋_GB2312" w:cs="Times New Roman"/>
          <w:color w:val="auto"/>
          <w:sz w:val="28"/>
          <w:szCs w:val="28"/>
          <w:lang w:eastAsia="zh-CN"/>
        </w:rPr>
      </w:pPr>
      <w:bookmarkStart w:id="190" w:name="_Toc1971674233_WPSOffice_Level3"/>
      <w:bookmarkStart w:id="191" w:name="_Toc1285333830_WPSOffice_Level3"/>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1</w:t>
      </w:r>
      <w:r>
        <w:rPr>
          <w:rFonts w:ascii="仿宋_GB2312" w:hAnsi="Times New Roman" w:eastAsia="仿宋_GB2312" w:cs="Times New Roman"/>
          <w:color w:val="auto"/>
          <w:sz w:val="28"/>
          <w:szCs w:val="28"/>
          <w:lang w:eastAsia="zh-CN"/>
        </w:rPr>
        <w:t>.3资格审查标准见“投标人须知前附表”。</w:t>
      </w:r>
      <w:bookmarkEnd w:id="190"/>
      <w:bookmarkEnd w:id="191"/>
    </w:p>
    <w:p w14:paraId="18A909CE">
      <w:pPr>
        <w:spacing w:line="360" w:lineRule="auto"/>
        <w:rPr>
          <w:rFonts w:hint="default" w:ascii="仿宋_GB2312" w:hAnsi="Times New Roman" w:eastAsia="仿宋_GB2312" w:cs="Times New Roman"/>
          <w:color w:val="auto"/>
          <w:sz w:val="28"/>
          <w:szCs w:val="28"/>
          <w:lang w:eastAsia="zh-CN"/>
        </w:rPr>
      </w:pPr>
      <w:bookmarkStart w:id="192" w:name="_Toc1102086292_WPSOffice_Level3"/>
      <w:bookmarkStart w:id="193" w:name="_Toc468577997_WPSOffice_Level3"/>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1</w:t>
      </w:r>
      <w:r>
        <w:rPr>
          <w:rFonts w:ascii="仿宋_GB2312" w:hAnsi="Times New Roman" w:eastAsia="仿宋_GB2312" w:cs="Times New Roman"/>
          <w:color w:val="auto"/>
          <w:sz w:val="28"/>
          <w:szCs w:val="28"/>
          <w:lang w:eastAsia="zh-CN"/>
        </w:rPr>
        <w:t>.4 信用记录的查询方法：见“投标人须知前附表”。</w:t>
      </w:r>
      <w:bookmarkEnd w:id="192"/>
      <w:bookmarkEnd w:id="193"/>
    </w:p>
    <w:p w14:paraId="1C2C3DAC">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eastAsia="zh-CN"/>
        </w:rPr>
        <w:t>3</w:t>
      </w:r>
      <w:r>
        <w:rPr>
          <w:rFonts w:ascii="仿宋_GB2312" w:hAnsi="Times New Roman" w:eastAsia="仿宋_GB2312" w:cs="Times New Roman"/>
          <w:b/>
          <w:bCs/>
          <w:color w:val="auto"/>
          <w:sz w:val="28"/>
          <w:szCs w:val="28"/>
          <w:lang w:val="en-US" w:eastAsia="zh-CN"/>
        </w:rPr>
        <w:t>2</w:t>
      </w:r>
      <w:r>
        <w:rPr>
          <w:rFonts w:ascii="仿宋_GB2312" w:hAnsi="Times New Roman" w:eastAsia="仿宋_GB2312" w:cs="Times New Roman"/>
          <w:b/>
          <w:bCs/>
          <w:color w:val="auto"/>
          <w:sz w:val="28"/>
          <w:szCs w:val="28"/>
          <w:lang w:eastAsia="zh-CN"/>
        </w:rPr>
        <w:t>.评标委员会</w:t>
      </w:r>
    </w:p>
    <w:p w14:paraId="5CE015C2">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2</w:t>
      </w:r>
      <w:r>
        <w:rPr>
          <w:rFonts w:ascii="仿宋_GB2312" w:hAnsi="Times New Roman" w:eastAsia="仿宋_GB2312" w:cs="Times New Roman"/>
          <w:color w:val="auto"/>
          <w:sz w:val="28"/>
          <w:szCs w:val="28"/>
          <w:lang w:eastAsia="zh-CN"/>
        </w:rPr>
        <w:t>.1评标由评标委员会负责，评标委员会由采购人代表和有关技术、经济等方面的专家组成，成员人数见“投标人须知前附表”。其中技术、经济等方面的专家不少于成员总数的三分之二。评审专家由采购人从河南省财政厅政府采购专家库中</w:t>
      </w:r>
      <w:r>
        <w:rPr>
          <w:rFonts w:ascii="仿宋_GB2312" w:hAnsi="Times New Roman" w:eastAsia="仿宋_GB2312" w:cs="Times New Roman"/>
          <w:color w:val="auto"/>
          <w:sz w:val="28"/>
          <w:szCs w:val="28"/>
          <w:lang w:val="en-US" w:eastAsia="zh-CN"/>
        </w:rPr>
        <w:t>提交</w:t>
      </w:r>
      <w:r>
        <w:rPr>
          <w:rFonts w:ascii="仿宋_GB2312" w:hAnsi="Times New Roman" w:eastAsia="仿宋_GB2312" w:cs="Times New Roman"/>
          <w:color w:val="auto"/>
          <w:sz w:val="28"/>
          <w:szCs w:val="28"/>
          <w:lang w:eastAsia="zh-CN"/>
        </w:rPr>
        <w:t>抽取</w:t>
      </w:r>
      <w:r>
        <w:rPr>
          <w:rFonts w:ascii="仿宋_GB2312" w:hAnsi="Times New Roman" w:eastAsia="仿宋_GB2312" w:cs="Times New Roman"/>
          <w:color w:val="auto"/>
          <w:sz w:val="28"/>
          <w:szCs w:val="28"/>
          <w:lang w:val="en-US" w:eastAsia="zh-CN"/>
        </w:rPr>
        <w:t>申请</w:t>
      </w:r>
      <w:r>
        <w:rPr>
          <w:rFonts w:ascii="仿宋_GB2312" w:hAnsi="Times New Roman" w:eastAsia="仿宋_GB2312" w:cs="Times New Roman"/>
          <w:color w:val="auto"/>
          <w:sz w:val="28"/>
          <w:szCs w:val="28"/>
          <w:lang w:eastAsia="zh-CN"/>
        </w:rPr>
        <w:t>，有关人员对评标委员会成员名单须严格保密。</w:t>
      </w:r>
    </w:p>
    <w:p w14:paraId="61526F78">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2</w:t>
      </w:r>
      <w:r>
        <w:rPr>
          <w:rFonts w:ascii="仿宋_GB2312" w:hAnsi="Times New Roman" w:eastAsia="仿宋_GB2312" w:cs="Times New Roman"/>
          <w:color w:val="auto"/>
          <w:sz w:val="28"/>
          <w:szCs w:val="28"/>
          <w:lang w:eastAsia="zh-CN"/>
        </w:rPr>
        <w:t>.2与投标人有利害关系的人员不得进入评标委员会。</w:t>
      </w:r>
    </w:p>
    <w:p w14:paraId="79304560">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val="en-US" w:eastAsia="zh-CN"/>
        </w:rPr>
        <w:t>33.</w:t>
      </w:r>
      <w:r>
        <w:rPr>
          <w:rFonts w:ascii="仿宋_GB2312" w:hAnsi="Times New Roman" w:eastAsia="仿宋_GB2312" w:cs="Times New Roman"/>
          <w:b/>
          <w:bCs/>
          <w:color w:val="auto"/>
          <w:sz w:val="28"/>
          <w:szCs w:val="28"/>
          <w:lang w:eastAsia="zh-CN"/>
        </w:rPr>
        <w:t>投标文件的澄清</w:t>
      </w:r>
    </w:p>
    <w:p w14:paraId="7CF3D696">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3</w:t>
      </w:r>
      <w:r>
        <w:rPr>
          <w:rFonts w:ascii="仿宋_GB2312" w:hAnsi="Times New Roman" w:eastAsia="仿宋_GB2312" w:cs="Times New Roman"/>
          <w:color w:val="auto"/>
          <w:sz w:val="28"/>
          <w:szCs w:val="28"/>
          <w:lang w:eastAsia="zh-CN"/>
        </w:rPr>
        <w:t>.1为了有助于对投标文件进行审查、评估和比较，评标委员会有权向投标人</w:t>
      </w:r>
      <w:r>
        <w:rPr>
          <w:rFonts w:ascii="仿宋_GB2312" w:hAnsi="Times New Roman" w:eastAsia="仿宋_GB2312" w:cs="Times New Roman"/>
          <w:color w:val="auto"/>
          <w:sz w:val="28"/>
          <w:szCs w:val="28"/>
          <w:lang w:val="en-US" w:eastAsia="zh-CN"/>
        </w:rPr>
        <w:t>提出澄清</w:t>
      </w:r>
      <w:r>
        <w:rPr>
          <w:rFonts w:ascii="仿宋_GB2312" w:hAnsi="Times New Roman" w:eastAsia="仿宋_GB2312" w:cs="Times New Roman"/>
          <w:color w:val="auto"/>
          <w:sz w:val="28"/>
          <w:szCs w:val="28"/>
          <w:lang w:eastAsia="zh-CN"/>
        </w:rPr>
        <w:t>，请投标人澄清其投标内容。</w:t>
      </w:r>
    </w:p>
    <w:p w14:paraId="7729CBCE">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3</w:t>
      </w:r>
      <w:r>
        <w:rPr>
          <w:rFonts w:ascii="仿宋_GB2312" w:hAnsi="Times New Roman" w:eastAsia="仿宋_GB2312" w:cs="Times New Roman"/>
          <w:color w:val="auto"/>
          <w:sz w:val="28"/>
          <w:szCs w:val="28"/>
          <w:lang w:eastAsia="zh-CN"/>
        </w:rPr>
        <w:t>.2澄清的答复应加盖投标人公章（或企业电子签章）或由法定代表人（或其委托代理人）签字或签章（或个人电子签章）。</w:t>
      </w:r>
    </w:p>
    <w:p w14:paraId="07018A62">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3</w:t>
      </w:r>
      <w:r>
        <w:rPr>
          <w:rFonts w:ascii="仿宋_GB2312" w:hAnsi="Times New Roman" w:eastAsia="仿宋_GB2312" w:cs="Times New Roman"/>
          <w:color w:val="auto"/>
          <w:sz w:val="28"/>
          <w:szCs w:val="28"/>
          <w:lang w:eastAsia="zh-CN"/>
        </w:rPr>
        <w:t>.3投标人的澄清文件是投标文件的组成部分。</w:t>
      </w:r>
    </w:p>
    <w:p w14:paraId="010E4EAC">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3</w:t>
      </w:r>
      <w:r>
        <w:rPr>
          <w:rFonts w:ascii="仿宋_GB2312" w:hAnsi="Times New Roman" w:eastAsia="仿宋_GB2312" w:cs="Times New Roman"/>
          <w:color w:val="auto"/>
          <w:sz w:val="28"/>
          <w:szCs w:val="28"/>
          <w:lang w:eastAsia="zh-CN"/>
        </w:rPr>
        <w:t>.4投标文件的澄清不得对投标内容进行实质性修改。</w:t>
      </w:r>
    </w:p>
    <w:p w14:paraId="5010BAD1">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val="en-US" w:eastAsia="zh-CN"/>
        </w:rPr>
        <w:t>34.</w:t>
      </w:r>
      <w:r>
        <w:rPr>
          <w:rFonts w:ascii="仿宋_GB2312" w:hAnsi="Times New Roman" w:eastAsia="仿宋_GB2312" w:cs="Times New Roman"/>
          <w:b/>
          <w:bCs/>
          <w:color w:val="auto"/>
          <w:sz w:val="28"/>
          <w:szCs w:val="28"/>
          <w:lang w:eastAsia="zh-CN"/>
        </w:rPr>
        <w:t>投标文件的符合性审查</w:t>
      </w:r>
    </w:p>
    <w:p w14:paraId="1956EAF8">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4</w:t>
      </w:r>
      <w:r>
        <w:rPr>
          <w:rFonts w:ascii="仿宋_GB2312" w:hAnsi="Times New Roman" w:eastAsia="仿宋_GB2312" w:cs="Times New Roman"/>
          <w:color w:val="auto"/>
          <w:sz w:val="28"/>
          <w:szCs w:val="28"/>
          <w:lang w:eastAsia="zh-CN"/>
        </w:rPr>
        <w:t>.1评标委员会将审查投标文件是否实质上响应招标文件。通过</w:t>
      </w:r>
      <w:r>
        <w:rPr>
          <w:rFonts w:ascii="仿宋_GB2312" w:hAnsi="Times New Roman" w:eastAsia="仿宋_GB2312" w:cs="Times New Roman"/>
          <w:color w:val="auto"/>
          <w:sz w:val="28"/>
          <w:szCs w:val="28"/>
          <w:lang w:val="en-US" w:eastAsia="zh-CN"/>
        </w:rPr>
        <w:t>符合性审查的</w:t>
      </w:r>
      <w:r>
        <w:rPr>
          <w:rFonts w:ascii="仿宋_GB2312" w:hAnsi="Times New Roman" w:eastAsia="仿宋_GB2312" w:cs="Times New Roman"/>
          <w:color w:val="auto"/>
          <w:sz w:val="28"/>
          <w:szCs w:val="28"/>
          <w:lang w:eastAsia="zh-CN"/>
        </w:rPr>
        <w:t>合格投标人不足3家的，</w:t>
      </w:r>
      <w:r>
        <w:rPr>
          <w:rFonts w:ascii="仿宋_GB2312" w:hAnsi="Times New Roman" w:eastAsia="仿宋_GB2312" w:cs="Times New Roman"/>
          <w:color w:val="auto"/>
          <w:sz w:val="28"/>
          <w:szCs w:val="28"/>
          <w:lang w:val="en-US" w:eastAsia="zh-CN"/>
        </w:rPr>
        <w:t>项目废标</w:t>
      </w:r>
      <w:r>
        <w:rPr>
          <w:rFonts w:ascii="仿宋_GB2312" w:hAnsi="Times New Roman" w:eastAsia="仿宋_GB2312" w:cs="Times New Roman"/>
          <w:color w:val="auto"/>
          <w:sz w:val="28"/>
          <w:szCs w:val="28"/>
          <w:lang w:eastAsia="zh-CN"/>
        </w:rPr>
        <w:t>。</w:t>
      </w:r>
    </w:p>
    <w:p w14:paraId="5E5A622D">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4</w:t>
      </w:r>
      <w:r>
        <w:rPr>
          <w:rFonts w:ascii="仿宋_GB2312" w:hAnsi="Times New Roman" w:eastAsia="仿宋_GB2312" w:cs="Times New Roman"/>
          <w:color w:val="auto"/>
          <w:sz w:val="28"/>
          <w:szCs w:val="28"/>
          <w:lang w:eastAsia="zh-CN"/>
        </w:rPr>
        <w:t>.2允许修正投标文件中不构成重大偏离的、微小的、非正规的、不一致或不规则的地方。</w:t>
      </w:r>
    </w:p>
    <w:p w14:paraId="5426A6E9">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4</w:t>
      </w:r>
      <w:r>
        <w:rPr>
          <w:rFonts w:ascii="仿宋_GB2312" w:hAnsi="Times New Roman" w:eastAsia="仿宋_GB2312" w:cs="Times New Roman"/>
          <w:color w:val="auto"/>
          <w:sz w:val="28"/>
          <w:szCs w:val="28"/>
          <w:lang w:eastAsia="zh-CN"/>
        </w:rPr>
        <w:t>.3在对投标文件进行详细评</w:t>
      </w:r>
      <w:r>
        <w:rPr>
          <w:rFonts w:ascii="仿宋_GB2312" w:hAnsi="Times New Roman" w:eastAsia="仿宋_GB2312" w:cs="Times New Roman"/>
          <w:color w:val="auto"/>
          <w:sz w:val="28"/>
          <w:szCs w:val="28"/>
          <w:lang w:val="en-US" w:eastAsia="zh-CN"/>
        </w:rPr>
        <w:t>审</w:t>
      </w:r>
      <w:r>
        <w:rPr>
          <w:rFonts w:ascii="仿宋_GB2312" w:hAnsi="Times New Roman" w:eastAsia="仿宋_GB2312" w:cs="Times New Roman"/>
          <w:color w:val="auto"/>
          <w:sz w:val="28"/>
          <w:szCs w:val="28"/>
          <w:lang w:eastAsia="zh-CN"/>
        </w:rPr>
        <w:t>之前，评标委员会将确定</w:t>
      </w:r>
      <w:r>
        <w:rPr>
          <w:rFonts w:ascii="仿宋_GB2312" w:hAnsi="Times New Roman" w:eastAsia="仿宋_GB2312" w:cs="Times New Roman"/>
          <w:color w:val="auto"/>
          <w:sz w:val="28"/>
          <w:szCs w:val="28"/>
          <w:lang w:val="en-US" w:eastAsia="zh-CN"/>
        </w:rPr>
        <w:t>投标文件</w:t>
      </w:r>
      <w:r>
        <w:rPr>
          <w:rFonts w:ascii="仿宋_GB2312" w:hAnsi="Times New Roman" w:eastAsia="仿宋_GB2312" w:cs="Times New Roman"/>
          <w:color w:val="auto"/>
          <w:sz w:val="28"/>
          <w:szCs w:val="28"/>
          <w:lang w:eastAsia="zh-CN"/>
        </w:rPr>
        <w:t>是否对招标文件的要求做出了实质性的响应，而没有重大偏离。实质性响应的投标是指投标符合招标文件的实质性条款、条件和规定且没有重大偏离和保留。重大偏离和保留是指对招标文件规定的采购需求、交货期、质量保证期、投标有效期、付款方式等产生重大或不可接受的偏差，或限制了集中采购机构、采购人的权利和投标人的义务的规定，而纠正这些偏离将影响到其它提交实质性响应投标的投标人的公平竞争地位。</w:t>
      </w:r>
    </w:p>
    <w:p w14:paraId="303C62B8">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4</w:t>
      </w:r>
      <w:r>
        <w:rPr>
          <w:rFonts w:ascii="仿宋_GB2312" w:hAnsi="Times New Roman" w:eastAsia="仿宋_GB2312" w:cs="Times New Roman"/>
          <w:color w:val="auto"/>
          <w:sz w:val="28"/>
          <w:szCs w:val="28"/>
          <w:lang w:eastAsia="zh-CN"/>
        </w:rPr>
        <w:t>.4评标委员会判断投标文件的响应性仅基于投标文件本身内容而不靠外部证据。</w:t>
      </w:r>
    </w:p>
    <w:p w14:paraId="6F149C60">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4</w:t>
      </w:r>
      <w:r>
        <w:rPr>
          <w:rFonts w:ascii="仿宋_GB2312" w:hAnsi="Times New Roman" w:eastAsia="仿宋_GB2312" w:cs="Times New Roman"/>
          <w:color w:val="auto"/>
          <w:sz w:val="28"/>
          <w:szCs w:val="28"/>
          <w:lang w:eastAsia="zh-CN"/>
        </w:rPr>
        <w:t>.5实质上没有响应招标文件要求的投标文件无效，投标人不得通过修正或撤消不符之处而使其投标成为实质上响应投标。</w:t>
      </w:r>
    </w:p>
    <w:p w14:paraId="4591CE06">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4</w:t>
      </w:r>
      <w:r>
        <w:rPr>
          <w:rFonts w:ascii="仿宋_GB2312" w:hAnsi="Times New Roman" w:eastAsia="仿宋_GB2312" w:cs="Times New Roman"/>
          <w:color w:val="auto"/>
          <w:sz w:val="28"/>
          <w:szCs w:val="28"/>
          <w:lang w:eastAsia="zh-CN"/>
        </w:rPr>
        <w:t>.6</w:t>
      </w:r>
      <w:r>
        <w:rPr>
          <w:rFonts w:ascii="仿宋_GB2312" w:hAnsi="Times New Roman" w:eastAsia="仿宋_GB2312" w:cs="Times New Roman"/>
          <w:color w:val="auto"/>
          <w:sz w:val="28"/>
          <w:szCs w:val="28"/>
          <w:lang w:val="en-US" w:eastAsia="zh-CN"/>
        </w:rPr>
        <w:t>参与同一个标段（包）的投标人存在下列情形之一的，其投标（响应）文件无效：</w:t>
      </w:r>
    </w:p>
    <w:p w14:paraId="0D2CCD2E">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（1）不同投标人的电子投标（响应）文件上传计算机的网卡MAC地址、CPU序列号和硬盘序列号等硬件信息相同的；</w:t>
      </w:r>
    </w:p>
    <w:p w14:paraId="4B88EBE2">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（2）不同投标人的投标（响应）文件由同一电子设备编制、加密或者上传；</w:t>
      </w:r>
    </w:p>
    <w:p w14:paraId="58172B2C">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（3）不同投标人的投标（响应）文件由同一人送达或者分发，或者不同投标人联系人为同一人或不同联系人的联系电话一致的；</w:t>
      </w:r>
    </w:p>
    <w:p w14:paraId="04211778">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（4）不同投标人的投标（响应）文件的内容存在两处以上专有细节错误一致；</w:t>
      </w:r>
    </w:p>
    <w:p w14:paraId="056B4313">
      <w:pPr>
        <w:spacing w:line="360" w:lineRule="auto"/>
        <w:rPr>
          <w:rFonts w:hint="default" w:ascii="仿宋_GB2312" w:hAnsi="Times New Roman" w:eastAsia="仿宋_GB2312" w:cs="Times New Roman"/>
          <w:color w:val="auto"/>
          <w:sz w:val="28"/>
          <w:szCs w:val="28"/>
          <w:lang w:val="en-US"/>
        </w:rPr>
      </w:pPr>
      <w:r>
        <w:rPr>
          <w:rFonts w:ascii="仿宋_GB2312" w:hAnsi="Times New Roman" w:eastAsia="仿宋_GB2312" w:cs="Times New Roman"/>
          <w:color w:val="auto"/>
          <w:sz w:val="28"/>
          <w:szCs w:val="28"/>
          <w:lang w:val="en-US"/>
        </w:rPr>
        <w:t>（5）其它涉嫌串通的情形。</w:t>
      </w:r>
    </w:p>
    <w:p w14:paraId="5FBABE99">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34.7有下列情形之一的，视为投标人串通投标，其投标无效：</w:t>
      </w:r>
    </w:p>
    <w:p w14:paraId="61991DC9">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（1）不同投标人的投标文件由同一单位或者个人编制；</w:t>
      </w:r>
    </w:p>
    <w:p w14:paraId="7C01FC55">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（2）不同投标人委托同一单位或者个人办理投标事宜；</w:t>
      </w:r>
    </w:p>
    <w:p w14:paraId="6614FF80">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（3）不同投标人的投标文件载明的项目管理成员或者联系人员为同一人；</w:t>
      </w:r>
    </w:p>
    <w:p w14:paraId="3DDAD65F">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（4）不同投标人的投标文件异常一致或者投标报价呈规律性差异；</w:t>
      </w:r>
    </w:p>
    <w:p w14:paraId="59B0737C">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（5）不同投标人的投标文件相互混装；</w:t>
      </w:r>
    </w:p>
    <w:p w14:paraId="7673C23E">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（6）不同投标人的投标保证金从同一单位或者个人的账户转出。</w:t>
      </w:r>
    </w:p>
    <w:p w14:paraId="3CC16B1D">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eastAsia="zh-CN"/>
        </w:rPr>
        <w:t>3</w:t>
      </w:r>
      <w:r>
        <w:rPr>
          <w:rFonts w:ascii="仿宋_GB2312" w:hAnsi="Times New Roman" w:eastAsia="仿宋_GB2312" w:cs="Times New Roman"/>
          <w:b/>
          <w:bCs/>
          <w:color w:val="auto"/>
          <w:sz w:val="28"/>
          <w:szCs w:val="28"/>
          <w:lang w:val="en-US" w:eastAsia="zh-CN"/>
        </w:rPr>
        <w:t>5</w:t>
      </w:r>
      <w:r>
        <w:rPr>
          <w:rFonts w:ascii="仿宋_GB2312" w:hAnsi="Times New Roman" w:eastAsia="仿宋_GB2312" w:cs="Times New Roman"/>
          <w:b/>
          <w:bCs/>
          <w:color w:val="auto"/>
          <w:sz w:val="28"/>
          <w:szCs w:val="28"/>
          <w:lang w:eastAsia="zh-CN"/>
        </w:rPr>
        <w:t>.投标的评价</w:t>
      </w:r>
    </w:p>
    <w:p w14:paraId="65D19899">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5</w:t>
      </w:r>
      <w:r>
        <w:rPr>
          <w:rFonts w:ascii="仿宋_GB2312" w:hAnsi="Times New Roman" w:eastAsia="仿宋_GB2312" w:cs="Times New Roman"/>
          <w:color w:val="auto"/>
          <w:sz w:val="28"/>
          <w:szCs w:val="28"/>
          <w:lang w:eastAsia="zh-CN"/>
        </w:rPr>
        <w:t>.1投标文件报价出现前后不一致的，按照下列规定修正：</w:t>
      </w:r>
    </w:p>
    <w:p w14:paraId="28843C1F">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（1）投标文件中开标一览表（报价表）内容与投标文件中相应内容不一致的，以开标一览表（报价表）为准；</w:t>
      </w:r>
    </w:p>
    <w:p w14:paraId="16C78564">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（2）大写金额和小写金额不一致的，以大写金额为准；</w:t>
      </w:r>
    </w:p>
    <w:p w14:paraId="174FE786">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（3）单价金额小数点或者百分比有明显错位的，以开标一览表的总价为准，并修改单价；</w:t>
      </w:r>
    </w:p>
    <w:p w14:paraId="5D66842A">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（4）总价金额与按单价汇总金额不一致的，以单价金额计算结果为准。</w:t>
      </w:r>
    </w:p>
    <w:p w14:paraId="1E568C90">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同时出现两种以上不一致的，按照前款规定的顺序修正。修正后的报价经投标人确认后产生约束力，投标人不确认的，其投标无效。</w:t>
      </w:r>
    </w:p>
    <w:p w14:paraId="45E1E215">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5</w:t>
      </w:r>
      <w:r>
        <w:rPr>
          <w:rFonts w:ascii="仿宋_GB2312" w:hAnsi="Times New Roman" w:eastAsia="仿宋_GB2312" w:cs="Times New Roman"/>
          <w:color w:val="auto"/>
          <w:sz w:val="28"/>
          <w:szCs w:val="28"/>
          <w:lang w:eastAsia="zh-CN"/>
        </w:rPr>
        <w:t>.2评标委员会认为投标人的报价明显低于其他通过符合性审查投标人的报价，有可能影响服务质量或者不能诚信履约的，应当要求其在合理的时间内提供书面说明，必要时提交相关证明材料；投标人不能证明其报价合理性的，评标委员会应当将其作为无效投标处理。</w:t>
      </w:r>
    </w:p>
    <w:p w14:paraId="6DFCA34B">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5</w:t>
      </w:r>
      <w:r>
        <w:rPr>
          <w:rFonts w:ascii="仿宋_GB2312" w:hAnsi="Times New Roman" w:eastAsia="仿宋_GB2312" w:cs="Times New Roman"/>
          <w:color w:val="auto"/>
          <w:sz w:val="28"/>
          <w:szCs w:val="28"/>
          <w:lang w:eastAsia="zh-CN"/>
        </w:rPr>
        <w:t>.3评标委员会只对已判定为实质性响应的投标文件进行评价和比较。</w:t>
      </w:r>
    </w:p>
    <w:p w14:paraId="00D0C872">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5</w:t>
      </w:r>
      <w:r>
        <w:rPr>
          <w:rFonts w:ascii="仿宋_GB2312" w:hAnsi="Times New Roman" w:eastAsia="仿宋_GB2312" w:cs="Times New Roman"/>
          <w:color w:val="auto"/>
          <w:sz w:val="28"/>
          <w:szCs w:val="28"/>
          <w:lang w:eastAsia="zh-CN"/>
        </w:rPr>
        <w:t>.4节能环保政策</w:t>
      </w:r>
    </w:p>
    <w:p w14:paraId="40D2E2C3">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根据财政部 发展改革委 生态环境部 市场监管总局《关于调整优化节能产品、环境标志产品政府采购执行机制的通知》（财库〔2019〕9号）要求：</w:t>
      </w:r>
    </w:p>
    <w:p w14:paraId="4DCE94FA">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（1）本项目若含有节能产品政府采购品目清单内政府强制采购产品，投标人须选用国家确定的认证机构认证的处于有效期之内的政府强制采购节能产品。</w:t>
      </w:r>
    </w:p>
    <w:p w14:paraId="243B0083">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本项目若含有节能产品、环境标志产品政府采购品目清单内政府优先采购产品，对选用国家公布的认证机构认证的处于有效期之内的政府优先采购节能产品（政府强制采购产品除外）、环境标志产品的，在评标时予以优先采购。</w:t>
      </w:r>
    </w:p>
    <w:p w14:paraId="7139A78E">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（3）投标人应提供国家确定的认证机构出具的处于有效期之内的节能产品、环境标志产品认证证书。</w:t>
      </w:r>
    </w:p>
    <w:p w14:paraId="03EC5E16">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eastAsia="zh-CN"/>
        </w:rPr>
        <w:t>（4）强制采购的节能产品：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w:t>
      </w:r>
    </w:p>
    <w:p w14:paraId="0B9BA8B1">
      <w:pPr>
        <w:spacing w:line="360" w:lineRule="auto"/>
        <w:jc w:val="left"/>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 xml:space="preserve">35.5 </w:t>
      </w:r>
      <w:r>
        <w:rPr>
          <w:rFonts w:ascii="仿宋_GB2312" w:hAnsi="Times New Roman" w:eastAsia="仿宋_GB2312" w:cs="Times New Roman"/>
          <w:color w:val="auto"/>
          <w:sz w:val="28"/>
          <w:szCs w:val="28"/>
          <w:lang w:eastAsia="zh-CN"/>
        </w:rPr>
        <w:t>正版软件的要求</w:t>
      </w:r>
    </w:p>
    <w:p w14:paraId="299163F5">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投标人需承诺投报的计算机产品预装正版操作系统，投报的硬件产品内的预装软件为正版软件。本项目如需落实正版软件要求，将在“投标人须知前附表”中载明。</w:t>
      </w:r>
    </w:p>
    <w:p w14:paraId="527FDCAB">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35.6</w:t>
      </w:r>
      <w:r>
        <w:rPr>
          <w:rFonts w:ascii="仿宋_GB2312" w:hAnsi="Times New Roman" w:eastAsia="仿宋_GB2312" w:cs="Times New Roman"/>
          <w:color w:val="auto"/>
          <w:sz w:val="28"/>
          <w:szCs w:val="28"/>
          <w:lang w:eastAsia="zh-CN"/>
        </w:rPr>
        <w:t>商品包装和快递包装要求</w:t>
      </w:r>
    </w:p>
    <w:p w14:paraId="324772F5">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本文件列出商品包装和快递包装要求的，投标人可填写商品包装和快递包装承诺函，承诺商品包装符合《商品包装政府采购需求标准（试行）》，快递包装符合《快递包装政府采购需求标准（试行）》。本项目如需落实商品包装和快递包装要求，将在“投标人须知前附表”中载明。</w:t>
      </w:r>
    </w:p>
    <w:p w14:paraId="1809AB96">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eastAsia="zh-CN"/>
        </w:rPr>
        <w:t>3</w:t>
      </w:r>
      <w:r>
        <w:rPr>
          <w:rFonts w:ascii="仿宋_GB2312" w:hAnsi="Times New Roman" w:eastAsia="仿宋_GB2312" w:cs="Times New Roman"/>
          <w:b/>
          <w:bCs/>
          <w:color w:val="auto"/>
          <w:sz w:val="28"/>
          <w:szCs w:val="28"/>
          <w:lang w:val="en-US" w:eastAsia="zh-CN"/>
        </w:rPr>
        <w:t>6</w:t>
      </w:r>
      <w:r>
        <w:rPr>
          <w:rFonts w:ascii="仿宋_GB2312" w:hAnsi="Times New Roman" w:eastAsia="仿宋_GB2312" w:cs="Times New Roman"/>
          <w:b/>
          <w:bCs/>
          <w:color w:val="auto"/>
          <w:sz w:val="28"/>
          <w:szCs w:val="28"/>
          <w:lang w:eastAsia="zh-CN"/>
        </w:rPr>
        <w:t>.评标价的确定</w:t>
      </w:r>
    </w:p>
    <w:p w14:paraId="65C65326">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6</w:t>
      </w:r>
      <w:r>
        <w:rPr>
          <w:rFonts w:ascii="仿宋_GB2312" w:hAnsi="Times New Roman" w:eastAsia="仿宋_GB2312" w:cs="Times New Roman"/>
          <w:color w:val="auto"/>
          <w:sz w:val="28"/>
          <w:szCs w:val="28"/>
          <w:lang w:eastAsia="zh-CN"/>
        </w:rPr>
        <w:t>.1根据《政府采购促进中小企业发展管理办法》（财库〔2020〕46号）和《财政部关于进一步加大政府采购支持中小企业力度的通知》（财库〔2022〕19号）的规定，</w:t>
      </w:r>
      <w:r>
        <w:rPr>
          <w:rFonts w:ascii="仿宋_GB2312" w:hAnsi="微软雅黑" w:eastAsia="仿宋_GB2312" w:cs="微软雅黑"/>
          <w:color w:val="auto"/>
          <w:sz w:val="28"/>
          <w:szCs w:val="28"/>
          <w:lang w:eastAsia="zh-CN"/>
        </w:rPr>
        <w:t>采</w:t>
      </w:r>
      <w:r>
        <w:rPr>
          <w:rFonts w:ascii="仿宋_GB2312" w:hAnsi="仿宋_GB2312" w:eastAsia="仿宋_GB2312" w:cs="仿宋_GB2312"/>
          <w:color w:val="auto"/>
          <w:sz w:val="28"/>
          <w:szCs w:val="28"/>
          <w:lang w:eastAsia="zh-CN"/>
        </w:rPr>
        <w:t>购人在政府</w:t>
      </w:r>
      <w:r>
        <w:rPr>
          <w:rFonts w:ascii="仿宋_GB2312" w:hAnsi="微软雅黑" w:eastAsia="仿宋_GB2312" w:cs="微软雅黑"/>
          <w:color w:val="auto"/>
          <w:sz w:val="28"/>
          <w:szCs w:val="28"/>
          <w:lang w:eastAsia="zh-CN"/>
        </w:rPr>
        <w:t>采</w:t>
      </w:r>
      <w:r>
        <w:rPr>
          <w:rFonts w:ascii="仿宋_GB2312" w:hAnsi="仿宋_GB2312" w:eastAsia="仿宋_GB2312" w:cs="仿宋_GB2312"/>
          <w:color w:val="auto"/>
          <w:sz w:val="28"/>
          <w:szCs w:val="28"/>
          <w:lang w:eastAsia="zh-CN"/>
        </w:rPr>
        <w:t>购活动中支持中小企业发展：</w:t>
      </w:r>
    </w:p>
    <w:p w14:paraId="3D399FA8">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（1）采购项目或采购包预留</w:t>
      </w:r>
      <w:r>
        <w:rPr>
          <w:rFonts w:ascii="仿宋_GB2312" w:hAnsi="微软雅黑" w:eastAsia="仿宋_GB2312" w:cs="微软雅黑"/>
          <w:color w:val="auto"/>
          <w:sz w:val="28"/>
          <w:szCs w:val="28"/>
          <w:lang w:eastAsia="zh-CN"/>
        </w:rPr>
        <w:t>采</w:t>
      </w:r>
      <w:r>
        <w:rPr>
          <w:rFonts w:ascii="仿宋_GB2312" w:hAnsi="仿宋_GB2312" w:eastAsia="仿宋_GB2312" w:cs="仿宋_GB2312"/>
          <w:color w:val="auto"/>
          <w:sz w:val="28"/>
          <w:szCs w:val="28"/>
          <w:lang w:eastAsia="zh-CN"/>
        </w:rPr>
        <w:t>购份额专门面向中小企业采购；</w:t>
      </w:r>
    </w:p>
    <w:p w14:paraId="2A1D931F">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（2）未预留份额专门面向中小企业</w:t>
      </w:r>
      <w:r>
        <w:rPr>
          <w:rFonts w:ascii="仿宋_GB2312" w:hAnsi="微软雅黑" w:eastAsia="仿宋_GB2312" w:cs="微软雅黑"/>
          <w:color w:val="auto"/>
          <w:sz w:val="28"/>
          <w:szCs w:val="28"/>
          <w:lang w:eastAsia="zh-CN"/>
        </w:rPr>
        <w:t>采</w:t>
      </w:r>
      <w:r>
        <w:rPr>
          <w:rFonts w:ascii="仿宋_GB2312" w:hAnsi="仿宋_GB2312" w:eastAsia="仿宋_GB2312" w:cs="仿宋_GB2312"/>
          <w:color w:val="auto"/>
          <w:sz w:val="28"/>
          <w:szCs w:val="28"/>
          <w:lang w:eastAsia="zh-CN"/>
        </w:rPr>
        <w:t>购的</w:t>
      </w:r>
      <w:r>
        <w:rPr>
          <w:rFonts w:ascii="仿宋_GB2312" w:hAnsi="微软雅黑" w:eastAsia="仿宋_GB2312" w:cs="微软雅黑"/>
          <w:color w:val="auto"/>
          <w:sz w:val="28"/>
          <w:szCs w:val="28"/>
          <w:lang w:eastAsia="zh-CN"/>
        </w:rPr>
        <w:t>采</w:t>
      </w:r>
      <w:r>
        <w:rPr>
          <w:rFonts w:ascii="仿宋_GB2312" w:hAnsi="仿宋_GB2312" w:eastAsia="仿宋_GB2312" w:cs="仿宋_GB2312"/>
          <w:color w:val="auto"/>
          <w:sz w:val="28"/>
          <w:szCs w:val="28"/>
          <w:lang w:eastAsia="zh-CN"/>
        </w:rPr>
        <w:t>购项目，以及预留份额项目中的非预留部分</w:t>
      </w:r>
      <w:r>
        <w:rPr>
          <w:rFonts w:ascii="仿宋_GB2312" w:hAnsi="微软雅黑" w:eastAsia="仿宋_GB2312" w:cs="微软雅黑"/>
          <w:color w:val="auto"/>
          <w:sz w:val="28"/>
          <w:szCs w:val="28"/>
          <w:lang w:eastAsia="zh-CN"/>
        </w:rPr>
        <w:t>采</w:t>
      </w:r>
      <w:r>
        <w:rPr>
          <w:rFonts w:ascii="仿宋_GB2312" w:hAnsi="仿宋_GB2312" w:eastAsia="仿宋_GB2312" w:cs="仿宋_GB2312"/>
          <w:color w:val="auto"/>
          <w:sz w:val="28"/>
          <w:szCs w:val="28"/>
          <w:lang w:eastAsia="zh-CN"/>
        </w:rPr>
        <w:t>购包，对小微企业报价给予</w:t>
      </w:r>
      <w:r>
        <w:rPr>
          <w:rFonts w:ascii="仿宋_GB2312" w:hAnsi="Times New Roman" w:eastAsia="仿宋_GB2312" w:cs="Times New Roman"/>
          <w:color w:val="auto"/>
          <w:sz w:val="28"/>
          <w:szCs w:val="28"/>
          <w:lang w:val="en-US" w:eastAsia="zh-CN"/>
        </w:rPr>
        <w:t>10</w:t>
      </w:r>
      <w:r>
        <w:rPr>
          <w:rFonts w:ascii="仿宋_GB2312" w:hAnsi="Times New Roman" w:eastAsia="仿宋_GB2312" w:cs="Times New Roman"/>
          <w:color w:val="auto"/>
          <w:sz w:val="28"/>
          <w:szCs w:val="28"/>
          <w:lang w:eastAsia="zh-CN"/>
        </w:rPr>
        <w:t>%—</w:t>
      </w:r>
      <w:r>
        <w:rPr>
          <w:rFonts w:ascii="仿宋_GB2312" w:hAnsi="Times New Roman" w:eastAsia="仿宋_GB2312" w:cs="Times New Roman"/>
          <w:color w:val="auto"/>
          <w:sz w:val="28"/>
          <w:szCs w:val="28"/>
          <w:lang w:val="en-US" w:eastAsia="zh-CN"/>
        </w:rPr>
        <w:t>2</w:t>
      </w:r>
      <w:r>
        <w:rPr>
          <w:rFonts w:ascii="仿宋_GB2312" w:hAnsi="Times New Roman" w:eastAsia="仿宋_GB2312" w:cs="Times New Roman"/>
          <w:color w:val="auto"/>
          <w:sz w:val="28"/>
          <w:szCs w:val="28"/>
          <w:lang w:eastAsia="zh-CN"/>
        </w:rPr>
        <w:t>0%的扣除，用扣除后的价格参加评审。中小企业扶持政策：见“投标人须知前附表”。</w:t>
      </w:r>
    </w:p>
    <w:p w14:paraId="3060CAB9">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eastAsia="zh-CN"/>
        </w:rPr>
        <w:t>（</w:t>
      </w:r>
      <w:r>
        <w:rPr>
          <w:rFonts w:ascii="仿宋_GB2312" w:hAnsi="Times New Roman" w:eastAsia="仿宋_GB2312" w:cs="Times New Roman"/>
          <w:color w:val="auto"/>
          <w:sz w:val="28"/>
          <w:szCs w:val="28"/>
          <w:lang w:val="en-US" w:eastAsia="zh-CN"/>
        </w:rPr>
        <w:t>3</w:t>
      </w:r>
      <w:r>
        <w:rPr>
          <w:rFonts w:ascii="仿宋_GB2312" w:hAnsi="Times New Roman" w:eastAsia="仿宋_GB2312" w:cs="Times New Roman"/>
          <w:color w:val="auto"/>
          <w:sz w:val="28"/>
          <w:szCs w:val="28"/>
          <w:lang w:eastAsia="zh-CN"/>
        </w:rPr>
        <w:t>）</w:t>
      </w:r>
      <w:r>
        <w:rPr>
          <w:rFonts w:ascii="仿宋_GB2312" w:hAnsi="Times New Roman" w:eastAsia="仿宋_GB2312" w:cs="Times New Roman"/>
          <w:color w:val="auto"/>
          <w:sz w:val="28"/>
          <w:szCs w:val="28"/>
          <w:lang w:val="en-US" w:eastAsia="zh-CN"/>
        </w:rPr>
        <w:t>中小企业划分标准见《关于印发中小企业划型标准规定的通知》（工信部联企业〔2011〕300号）。中标人享受《政府采购促进中小企业发展管理办法》规定的中小企业扶持政策的，随中标结果公开中标人的《中小企业声明函》。投标人提供声明函内容不实的，属于提供虚假材料谋取中标，依照《中华人民共和国政府采购法》等国家有关规定追究相应责任。</w:t>
      </w:r>
    </w:p>
    <w:p w14:paraId="5845B3DA">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（4）监狱企业视同小型、微型企业，投标人应提供省级及以上监狱管理局、戒毒管理局（含新疆生产建设兵团）出具的属于监狱企业的证明文件。</w:t>
      </w:r>
    </w:p>
    <w:p w14:paraId="742F9DD0">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（5）残疾人福利性单位视同小型、微型企业，残疾人福利性单位须符合《财政部民政部中国残疾人联合会关于促进残疾人就业政府采购政策的通知》（财库〔2017〕141 号）要求，提供《残疾人福利性单位声明函》，提供的《残疾人福利性单位声明函》与事实不符的，依照《政府采购法》第七十七条第一款的规定追究法律责任。中标人为残疾人福利性单位的，随中标、成交结果同时公告其《残疾人福利性单位声明函》，接受社会监督。</w:t>
      </w:r>
    </w:p>
    <w:p w14:paraId="4F489525">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36.2</w:t>
      </w:r>
      <w:r>
        <w:rPr>
          <w:rFonts w:ascii="仿宋_GB2312" w:hAnsi="Times New Roman" w:eastAsia="仿宋_GB2312" w:cs="Times New Roman"/>
          <w:color w:val="auto"/>
          <w:sz w:val="28"/>
          <w:szCs w:val="28"/>
          <w:lang w:eastAsia="zh-CN"/>
        </w:rPr>
        <w:t>评标价不作为中标价和合同签约价，中标价和合同签约价仍以其投标文件中的报价为准。</w:t>
      </w:r>
    </w:p>
    <w:p w14:paraId="43F8C77C">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eastAsia="zh-CN"/>
        </w:rPr>
        <w:t>3</w:t>
      </w:r>
      <w:r>
        <w:rPr>
          <w:rFonts w:ascii="仿宋_GB2312" w:hAnsi="Times New Roman" w:eastAsia="仿宋_GB2312" w:cs="Times New Roman"/>
          <w:b/>
          <w:bCs/>
          <w:color w:val="auto"/>
          <w:sz w:val="28"/>
          <w:szCs w:val="28"/>
          <w:lang w:val="en-US" w:eastAsia="zh-CN"/>
        </w:rPr>
        <w:t>7</w:t>
      </w:r>
      <w:r>
        <w:rPr>
          <w:rFonts w:ascii="仿宋_GB2312" w:hAnsi="Times New Roman" w:eastAsia="仿宋_GB2312" w:cs="Times New Roman"/>
          <w:b/>
          <w:bCs/>
          <w:color w:val="auto"/>
          <w:sz w:val="28"/>
          <w:szCs w:val="28"/>
          <w:lang w:eastAsia="zh-CN"/>
        </w:rPr>
        <w:t>.评标结果</w:t>
      </w:r>
    </w:p>
    <w:p w14:paraId="1B1051B3">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7</w:t>
      </w:r>
      <w:r>
        <w:rPr>
          <w:rFonts w:ascii="仿宋_GB2312" w:hAnsi="Times New Roman" w:eastAsia="仿宋_GB2312" w:cs="Times New Roman"/>
          <w:color w:val="auto"/>
          <w:sz w:val="28"/>
          <w:szCs w:val="28"/>
          <w:lang w:eastAsia="zh-CN"/>
        </w:rPr>
        <w:t>.1评标委员会按照招标文件中规定的评标方法和标准，对符合性审查合格的投标文件进行商务和技术评</w:t>
      </w:r>
      <w:r>
        <w:rPr>
          <w:rFonts w:ascii="仿宋_GB2312" w:hAnsi="Times New Roman" w:eastAsia="仿宋_GB2312" w:cs="Times New Roman"/>
          <w:color w:val="auto"/>
          <w:sz w:val="28"/>
          <w:szCs w:val="28"/>
          <w:lang w:val="en-US" w:eastAsia="zh-CN"/>
        </w:rPr>
        <w:t>审</w:t>
      </w:r>
      <w:r>
        <w:rPr>
          <w:rFonts w:ascii="仿宋_GB2312" w:hAnsi="Times New Roman" w:eastAsia="仿宋_GB2312" w:cs="Times New Roman"/>
          <w:color w:val="auto"/>
          <w:sz w:val="28"/>
          <w:szCs w:val="28"/>
          <w:lang w:eastAsia="zh-CN"/>
        </w:rPr>
        <w:t>，综合比较与评价。</w:t>
      </w:r>
    </w:p>
    <w:p w14:paraId="09F185F0">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7</w:t>
      </w:r>
      <w:r>
        <w:rPr>
          <w:rFonts w:ascii="仿宋_GB2312" w:hAnsi="Times New Roman" w:eastAsia="仿宋_GB2312" w:cs="Times New Roman"/>
          <w:color w:val="auto"/>
          <w:sz w:val="28"/>
          <w:szCs w:val="28"/>
          <w:lang w:eastAsia="zh-CN"/>
        </w:rPr>
        <w:t>.2投标人的评审得分为所有评委评审得分的算术平均值，评审得分取至小数点后两位（第三位四舍五入）。</w:t>
      </w:r>
    </w:p>
    <w:p w14:paraId="46FB72E1">
      <w:pPr>
        <w:pStyle w:val="17"/>
        <w:spacing w:line="360" w:lineRule="auto"/>
        <w:rPr>
          <w:rFonts w:ascii="仿宋_GB2312" w:hAnsi="Times New Roman" w:eastAsia="仿宋_GB2312" w:cs="Times New Roman"/>
          <w:color w:val="auto"/>
          <w:sz w:val="28"/>
          <w:szCs w:val="28"/>
        </w:rPr>
      </w:pPr>
      <w:r>
        <w:rPr>
          <w:rFonts w:hint="eastAsia" w:ascii="仿宋_GB2312" w:hAnsi="Times New Roman" w:eastAsia="仿宋_GB2312" w:cs="Times New Roman"/>
          <w:b/>
          <w:bCs/>
          <w:color w:val="auto"/>
          <w:sz w:val="28"/>
          <w:szCs w:val="28"/>
        </w:rPr>
        <w:t>38.</w:t>
      </w:r>
      <w:r>
        <w:rPr>
          <w:rFonts w:hint="eastAsia" w:ascii="仿宋_GB2312" w:hAnsi="Times New Roman" w:eastAsia="仿宋_GB2312" w:cs="Times New Roman"/>
          <w:b/>
          <w:color w:val="auto"/>
          <w:sz w:val="28"/>
          <w:szCs w:val="28"/>
        </w:rPr>
        <w:t>推荐中标候选人原则及标准</w:t>
      </w:r>
    </w:p>
    <w:p w14:paraId="0D49515F">
      <w:pPr>
        <w:widowControl w:val="0"/>
        <w:spacing w:line="360" w:lineRule="auto"/>
        <w:jc w:val="left"/>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除非“投标人须知前附表”有特殊约定，否则评标委员会按评审后得分由高到低顺序</w:t>
      </w:r>
      <w:r>
        <w:rPr>
          <w:rFonts w:ascii="仿宋_GB2312" w:hAnsi="Times New Roman" w:eastAsia="仿宋_GB2312" w:cs="Times New Roman"/>
          <w:color w:val="auto"/>
          <w:sz w:val="28"/>
          <w:szCs w:val="28"/>
          <w:lang w:val="en-US" w:eastAsia="zh-CN"/>
        </w:rPr>
        <w:t>排列。按投标人须知前附表中规定数量推荐中标候选人。</w:t>
      </w:r>
    </w:p>
    <w:p w14:paraId="133CF0F7">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eastAsia="zh-CN"/>
        </w:rPr>
        <w:t>3</w:t>
      </w:r>
      <w:r>
        <w:rPr>
          <w:rFonts w:ascii="仿宋_GB2312" w:hAnsi="Times New Roman" w:eastAsia="仿宋_GB2312" w:cs="Times New Roman"/>
          <w:b/>
          <w:bCs/>
          <w:color w:val="auto"/>
          <w:sz w:val="28"/>
          <w:szCs w:val="28"/>
          <w:lang w:val="en-US" w:eastAsia="zh-CN"/>
        </w:rPr>
        <w:t>9</w:t>
      </w:r>
      <w:r>
        <w:rPr>
          <w:rFonts w:ascii="仿宋_GB2312" w:hAnsi="Times New Roman" w:eastAsia="仿宋_GB2312" w:cs="Times New Roman"/>
          <w:b/>
          <w:bCs/>
          <w:color w:val="auto"/>
          <w:sz w:val="28"/>
          <w:szCs w:val="28"/>
          <w:lang w:eastAsia="zh-CN"/>
        </w:rPr>
        <w:t>.保密及其它注意事项</w:t>
      </w:r>
    </w:p>
    <w:p w14:paraId="7D549084">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9</w:t>
      </w:r>
      <w:r>
        <w:rPr>
          <w:rFonts w:ascii="仿宋_GB2312" w:hAnsi="Times New Roman" w:eastAsia="仿宋_GB2312" w:cs="Times New Roman"/>
          <w:color w:val="auto"/>
          <w:sz w:val="28"/>
          <w:szCs w:val="28"/>
          <w:lang w:eastAsia="zh-CN"/>
        </w:rPr>
        <w:t>.1评标是招标工作的重要环节，评标工作在评标委员会内独立进行。</w:t>
      </w:r>
    </w:p>
    <w:p w14:paraId="0B79C175">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9</w:t>
      </w:r>
      <w:r>
        <w:rPr>
          <w:rFonts w:ascii="仿宋_GB2312" w:hAnsi="Times New Roman" w:eastAsia="仿宋_GB2312" w:cs="Times New Roman"/>
          <w:color w:val="auto"/>
          <w:sz w:val="28"/>
          <w:szCs w:val="28"/>
          <w:lang w:eastAsia="zh-CN"/>
        </w:rPr>
        <w:t>.2评标委员会将遵照规定的评标方法，公正、平等地对待所有投标人。</w:t>
      </w:r>
    </w:p>
    <w:p w14:paraId="2E854294">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9</w:t>
      </w:r>
      <w:r>
        <w:rPr>
          <w:rFonts w:ascii="仿宋_GB2312" w:hAnsi="Times New Roman" w:eastAsia="仿宋_GB2312" w:cs="Times New Roman"/>
          <w:color w:val="auto"/>
          <w:sz w:val="28"/>
          <w:szCs w:val="28"/>
          <w:lang w:eastAsia="zh-CN"/>
        </w:rPr>
        <w:t>.3在评标期间，投标人不得向评委询问评标情况，不得进行旨在影响评标结果的活动。</w:t>
      </w:r>
    </w:p>
    <w:p w14:paraId="5FF493CF">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9</w:t>
      </w:r>
      <w:r>
        <w:rPr>
          <w:rFonts w:ascii="仿宋_GB2312" w:hAnsi="Times New Roman" w:eastAsia="仿宋_GB2312" w:cs="Times New Roman"/>
          <w:color w:val="auto"/>
          <w:sz w:val="28"/>
          <w:szCs w:val="28"/>
          <w:lang w:eastAsia="zh-CN"/>
        </w:rPr>
        <w:t>.4为保证评标的公正性，开标后直至授予投标人合同，评委不得与投标人私下交换意见。</w:t>
      </w:r>
    </w:p>
    <w:p w14:paraId="47306334">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9</w:t>
      </w:r>
      <w:r>
        <w:rPr>
          <w:rFonts w:ascii="仿宋_GB2312" w:hAnsi="Times New Roman" w:eastAsia="仿宋_GB2312" w:cs="Times New Roman"/>
          <w:color w:val="auto"/>
          <w:sz w:val="28"/>
          <w:szCs w:val="28"/>
          <w:lang w:eastAsia="zh-CN"/>
        </w:rPr>
        <w:t>.5在评标工作结束后，凡与评标情况有接触的任何人不得擅自将评标情况扩散出评标人员之外。</w:t>
      </w:r>
    </w:p>
    <w:p w14:paraId="3BB7A13F">
      <w:pPr>
        <w:spacing w:line="360" w:lineRule="auto"/>
        <w:rPr>
          <w:rFonts w:hint="default" w:ascii="Times New Roman"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3</w:t>
      </w:r>
      <w:r>
        <w:rPr>
          <w:rFonts w:ascii="仿宋_GB2312" w:hAnsi="Times New Roman" w:eastAsia="仿宋_GB2312" w:cs="Times New Roman"/>
          <w:color w:val="auto"/>
          <w:sz w:val="28"/>
          <w:szCs w:val="28"/>
          <w:lang w:val="en-US" w:eastAsia="zh-CN"/>
        </w:rPr>
        <w:t>9</w:t>
      </w:r>
      <w:r>
        <w:rPr>
          <w:rFonts w:ascii="仿宋_GB2312" w:hAnsi="Times New Roman" w:eastAsia="仿宋_GB2312" w:cs="Times New Roman"/>
          <w:color w:val="auto"/>
          <w:sz w:val="28"/>
          <w:szCs w:val="28"/>
          <w:lang w:eastAsia="zh-CN"/>
        </w:rPr>
        <w:t>.6评标结束后，概不退还投标文件。</w:t>
      </w:r>
    </w:p>
    <w:p w14:paraId="5C15B9C4">
      <w:pPr>
        <w:pStyle w:val="234"/>
        <w:ind w:firstLine="240"/>
        <w:rPr>
          <w:rFonts w:hint="eastAsia"/>
          <w:color w:val="auto"/>
        </w:rPr>
      </w:pPr>
    </w:p>
    <w:p w14:paraId="098BFDA2">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94" w:name="_Toc825115381"/>
      <w:bookmarkStart w:id="195" w:name="_Toc69887890"/>
      <w:bookmarkStart w:id="196" w:name="_Toc2899487"/>
      <w:bookmarkStart w:id="197" w:name="_Toc1542593003"/>
      <w:bookmarkStart w:id="198" w:name="_Toc1092967952_WPSOffice_Level2"/>
      <w:bookmarkStart w:id="199" w:name="_Toc799007261"/>
      <w:bookmarkStart w:id="200" w:name="_Toc1052785819"/>
      <w:bookmarkStart w:id="201" w:name="_Toc57506616"/>
      <w:bookmarkStart w:id="202" w:name="_Toc1199683400_WPSOffice_Level2"/>
      <w:bookmarkStart w:id="203" w:name="_Toc469259728"/>
      <w:bookmarkStart w:id="204" w:name="_Toc395900728"/>
      <w:bookmarkStart w:id="205" w:name="_Toc1781574470_WPSOffice_Level2"/>
      <w:r>
        <w:rPr>
          <w:rFonts w:hint="default" w:ascii="Times New Roman" w:hAnsi="Times New Roman" w:eastAsia="方正小标宋_GBK" w:cs="Times New Roman"/>
          <w:bCs/>
          <w:color w:val="auto"/>
          <w:kern w:val="0"/>
          <w:sz w:val="30"/>
          <w:szCs w:val="30"/>
          <w:lang w:val="en-US" w:eastAsia="zh-CN"/>
        </w:rPr>
        <w:t>六、确定中标</w:t>
      </w:r>
      <w:bookmarkEnd w:id="194"/>
      <w:bookmarkEnd w:id="195"/>
      <w:bookmarkEnd w:id="196"/>
      <w:bookmarkEnd w:id="197"/>
      <w:bookmarkEnd w:id="198"/>
      <w:bookmarkEnd w:id="199"/>
      <w:bookmarkEnd w:id="200"/>
      <w:bookmarkEnd w:id="201"/>
      <w:bookmarkEnd w:id="202"/>
      <w:bookmarkEnd w:id="203"/>
      <w:bookmarkEnd w:id="204"/>
      <w:bookmarkEnd w:id="205"/>
    </w:p>
    <w:p w14:paraId="539BA015">
      <w:pPr>
        <w:keepNext/>
        <w:keepLines/>
        <w:widowControl w:val="0"/>
        <w:autoSpaceDE w:val="0"/>
        <w:autoSpaceDN w:val="0"/>
        <w:adjustRightInd w:val="0"/>
        <w:spacing w:line="360" w:lineRule="auto"/>
        <w:jc w:val="left"/>
        <w:rPr>
          <w:rFonts w:hint="default" w:ascii="仿宋_GB2312" w:hAnsi="Times New Roman" w:eastAsia="仿宋_GB2312" w:cs="Times New Roman"/>
          <w:b/>
          <w:color w:val="auto"/>
          <w:kern w:val="0"/>
          <w:sz w:val="28"/>
          <w:szCs w:val="28"/>
          <w:lang w:val="en-US" w:eastAsia="zh-CN"/>
        </w:rPr>
      </w:pPr>
      <w:r>
        <w:rPr>
          <w:rFonts w:ascii="仿宋_GB2312" w:hAnsi="Times New Roman" w:eastAsia="仿宋_GB2312" w:cs="Times New Roman"/>
          <w:b/>
          <w:bCs/>
          <w:color w:val="auto"/>
          <w:sz w:val="28"/>
          <w:szCs w:val="28"/>
          <w:lang w:val="en-US" w:eastAsia="zh-CN"/>
        </w:rPr>
        <w:t>40</w:t>
      </w:r>
      <w:r>
        <w:rPr>
          <w:rFonts w:ascii="仿宋_GB2312" w:hAnsi="Times New Roman" w:eastAsia="仿宋_GB2312" w:cs="Times New Roman"/>
          <w:b/>
          <w:bCs/>
          <w:color w:val="auto"/>
          <w:sz w:val="28"/>
          <w:szCs w:val="28"/>
          <w:lang w:val="en" w:eastAsia="zh-CN"/>
        </w:rPr>
        <w:t>.</w:t>
      </w:r>
      <w:r>
        <w:rPr>
          <w:rFonts w:ascii="仿宋_GB2312" w:hAnsi="Times New Roman" w:eastAsia="仿宋_GB2312" w:cs="Times New Roman"/>
          <w:b/>
          <w:color w:val="auto"/>
          <w:kern w:val="0"/>
          <w:sz w:val="28"/>
          <w:szCs w:val="28"/>
          <w:lang w:val="en-US" w:eastAsia="zh-CN"/>
        </w:rPr>
        <w:t>确定中标人</w:t>
      </w:r>
    </w:p>
    <w:p w14:paraId="1559D229">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40</w:t>
      </w:r>
      <w:r>
        <w:rPr>
          <w:rFonts w:ascii="仿宋_GB2312" w:hAnsi="Times New Roman" w:eastAsia="仿宋_GB2312" w:cs="Times New Roman"/>
          <w:color w:val="auto"/>
          <w:sz w:val="28"/>
          <w:szCs w:val="28"/>
          <w:lang w:val="en" w:eastAsia="zh-CN"/>
        </w:rPr>
        <w:t>.</w:t>
      </w:r>
      <w:r>
        <w:rPr>
          <w:rFonts w:ascii="仿宋_GB2312" w:hAnsi="Times New Roman" w:eastAsia="仿宋_GB2312" w:cs="Times New Roman"/>
          <w:color w:val="auto"/>
          <w:sz w:val="28"/>
          <w:szCs w:val="28"/>
          <w:lang w:val="en-US" w:eastAsia="zh-CN"/>
        </w:rPr>
        <w:t>1</w:t>
      </w:r>
      <w:r>
        <w:rPr>
          <w:rFonts w:ascii="仿宋_GB2312" w:hAnsi="Times New Roman" w:eastAsia="仿宋_GB2312" w:cs="Times New Roman"/>
          <w:color w:val="auto"/>
          <w:sz w:val="28"/>
          <w:szCs w:val="28"/>
          <w:lang w:eastAsia="zh-CN"/>
        </w:rPr>
        <w:t>采购人应当自收到评标报告之日起５个工作日内，从评标报告提出的中标候选人中，根据评标委员会推荐排名顺序的中标候选人中，选定第一中标候选人为中标人；也可以书面授权评标委员会直接确定中标人。</w:t>
      </w:r>
    </w:p>
    <w:p w14:paraId="1D6C53F6">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40.2</w:t>
      </w:r>
      <w:r>
        <w:rPr>
          <w:rFonts w:ascii="仿宋_GB2312" w:hAnsi="Times New Roman" w:eastAsia="仿宋_GB2312" w:cs="Times New Roman"/>
          <w:color w:val="auto"/>
          <w:sz w:val="28"/>
          <w:szCs w:val="28"/>
          <w:lang w:eastAsia="zh-CN"/>
        </w:rPr>
        <w:t>采购人在收到评标报告5个工作日内未按评标报告推荐的中标候选人顺序确定中标人，又不能说明合法理由的，视同按评标报告推荐的顺序确定排名第一的中标候选人为中标人。</w:t>
      </w:r>
    </w:p>
    <w:p w14:paraId="7904E418">
      <w:pPr>
        <w:spacing w:line="360" w:lineRule="auto"/>
        <w:rPr>
          <w:rFonts w:hint="default" w:ascii="仿宋_GB2312" w:hAnsi="Times New Roman" w:eastAsia="仿宋_GB2312" w:cs="Times New Roman"/>
          <w:b/>
          <w:color w:val="auto"/>
          <w:kern w:val="0"/>
          <w:sz w:val="28"/>
          <w:szCs w:val="28"/>
          <w:lang w:val="en-US" w:eastAsia="zh-CN"/>
        </w:rPr>
      </w:pPr>
      <w:r>
        <w:rPr>
          <w:rFonts w:ascii="仿宋_GB2312" w:hAnsi="Times New Roman" w:eastAsia="仿宋_GB2312" w:cs="Times New Roman"/>
          <w:b/>
          <w:color w:val="auto"/>
          <w:kern w:val="0"/>
          <w:sz w:val="28"/>
          <w:szCs w:val="28"/>
          <w:lang w:val="en-US" w:eastAsia="zh-CN"/>
        </w:rPr>
        <w:t>41.发布中标公告及发出中标通知书</w:t>
      </w:r>
    </w:p>
    <w:p w14:paraId="61E88659">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41</w:t>
      </w:r>
      <w:r>
        <w:rPr>
          <w:rFonts w:ascii="仿宋_GB2312" w:hAnsi="Times New Roman" w:eastAsia="仿宋_GB2312" w:cs="Times New Roman"/>
          <w:color w:val="auto"/>
          <w:sz w:val="28"/>
          <w:szCs w:val="28"/>
          <w:lang w:eastAsia="zh-CN"/>
        </w:rPr>
        <w:t>.</w:t>
      </w:r>
      <w:r>
        <w:rPr>
          <w:rFonts w:ascii="仿宋_GB2312" w:hAnsi="Times New Roman" w:eastAsia="仿宋_GB2312" w:cs="Times New Roman"/>
          <w:color w:val="auto"/>
          <w:sz w:val="28"/>
          <w:szCs w:val="28"/>
          <w:lang w:val="en-US" w:eastAsia="zh-CN"/>
        </w:rPr>
        <w:t>1</w:t>
      </w:r>
      <w:r>
        <w:rPr>
          <w:rFonts w:ascii="仿宋_GB2312" w:hAnsi="Times New Roman" w:eastAsia="仿宋_GB2312" w:cs="Times New Roman"/>
          <w:color w:val="auto"/>
          <w:sz w:val="28"/>
          <w:szCs w:val="28"/>
          <w:lang w:eastAsia="zh-CN"/>
        </w:rPr>
        <w:t>采购人按规定确定中标人后，</w:t>
      </w:r>
      <w:r>
        <w:rPr>
          <w:rFonts w:ascii="仿宋_GB2312" w:hAnsi="Times New Roman" w:eastAsia="仿宋_GB2312" w:cs="Times New Roman"/>
          <w:color w:val="auto"/>
          <w:sz w:val="28"/>
          <w:szCs w:val="28"/>
          <w:lang w:val="en-US" w:eastAsia="zh-CN"/>
        </w:rPr>
        <w:t>采购人或</w:t>
      </w:r>
      <w:r>
        <w:rPr>
          <w:rFonts w:ascii="仿宋_GB2312" w:hAnsi="Times New Roman" w:eastAsia="仿宋_GB2312" w:cs="Times New Roman"/>
          <w:color w:val="auto"/>
          <w:sz w:val="28"/>
          <w:szCs w:val="28"/>
          <w:lang w:eastAsia="zh-CN"/>
        </w:rPr>
        <w:t>集中采购机构应将中标结果在“投标人须知前附表”规定的媒介上予以公告，中标结果公告期限为1个工作日。</w:t>
      </w:r>
    </w:p>
    <w:p w14:paraId="2C6769D4">
      <w:pPr>
        <w:widowControl w:val="0"/>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41.2发布中标公告同时向中标人发出中标通知书。</w:t>
      </w:r>
    </w:p>
    <w:p w14:paraId="311210E5">
      <w:pPr>
        <w:pStyle w:val="16"/>
        <w:spacing w:before="0" w:line="360" w:lineRule="auto"/>
        <w:rPr>
          <w:rFonts w:ascii="仿宋_GB2312" w:hAnsi="Times New Roman" w:eastAsia="仿宋_GB2312"/>
          <w:lang w:val="en-US" w:eastAsia="zh-CN"/>
        </w:rPr>
      </w:pPr>
      <w:r>
        <w:rPr>
          <w:rFonts w:hint="eastAsia" w:ascii="仿宋_GB2312" w:hAnsi="Times New Roman" w:eastAsia="仿宋_GB2312"/>
          <w:sz w:val="28"/>
          <w:szCs w:val="28"/>
          <w:lang w:val="en-US" w:eastAsia="zh-CN"/>
        </w:rPr>
        <w:t>41.3</w:t>
      </w:r>
      <w:r>
        <w:rPr>
          <w:rFonts w:hint="eastAsia" w:ascii="仿宋_GB2312" w:hAnsi="Times New Roman" w:eastAsia="仿宋_GB2312"/>
          <w:kern w:val="1"/>
          <w:sz w:val="28"/>
          <w:szCs w:val="28"/>
          <w:lang w:eastAsia="zh-CN"/>
        </w:rPr>
        <w:t>中标通知书发出后，采购人不得违法改变</w:t>
      </w:r>
      <w:r>
        <w:rPr>
          <w:rFonts w:hint="eastAsia" w:ascii="仿宋_GB2312" w:hAnsi="Times New Roman" w:eastAsia="仿宋_GB2312"/>
          <w:kern w:val="1"/>
          <w:sz w:val="28"/>
          <w:szCs w:val="28"/>
          <w:lang w:val="en-US" w:eastAsia="zh-CN"/>
        </w:rPr>
        <w:t>中标</w:t>
      </w:r>
      <w:r>
        <w:rPr>
          <w:rFonts w:hint="eastAsia" w:ascii="仿宋_GB2312" w:hAnsi="Times New Roman" w:eastAsia="仿宋_GB2312"/>
          <w:kern w:val="1"/>
          <w:sz w:val="28"/>
          <w:szCs w:val="28"/>
          <w:lang w:eastAsia="zh-CN"/>
        </w:rPr>
        <w:t>结果，中标</w:t>
      </w:r>
      <w:r>
        <w:rPr>
          <w:rFonts w:hint="eastAsia" w:ascii="仿宋_GB2312" w:hAnsi="Times New Roman" w:eastAsia="仿宋_GB2312"/>
          <w:kern w:val="1"/>
          <w:sz w:val="28"/>
          <w:szCs w:val="28"/>
          <w:lang w:val="en-US" w:eastAsia="zh-CN"/>
        </w:rPr>
        <w:t>人</w:t>
      </w:r>
      <w:r>
        <w:rPr>
          <w:rFonts w:hint="eastAsia" w:ascii="仿宋_GB2312" w:hAnsi="Times New Roman" w:eastAsia="仿宋_GB2312"/>
          <w:kern w:val="1"/>
          <w:sz w:val="28"/>
          <w:szCs w:val="28"/>
          <w:lang w:eastAsia="zh-CN"/>
        </w:rPr>
        <w:t>无正当理由不得放弃</w:t>
      </w:r>
      <w:r>
        <w:rPr>
          <w:rFonts w:hint="eastAsia" w:ascii="仿宋_GB2312" w:hAnsi="Times New Roman" w:eastAsia="仿宋_GB2312"/>
          <w:kern w:val="1"/>
          <w:sz w:val="28"/>
          <w:szCs w:val="28"/>
          <w:lang w:val="en-US" w:eastAsia="zh-CN"/>
        </w:rPr>
        <w:t>中标</w:t>
      </w:r>
      <w:r>
        <w:rPr>
          <w:rFonts w:hint="eastAsia" w:ascii="仿宋_GB2312" w:hAnsi="Times New Roman" w:eastAsia="仿宋_GB2312"/>
          <w:kern w:val="1"/>
          <w:sz w:val="28"/>
          <w:szCs w:val="28"/>
          <w:lang w:eastAsia="zh-CN"/>
        </w:rPr>
        <w:t>。</w:t>
      </w:r>
    </w:p>
    <w:p w14:paraId="41496E06">
      <w:pPr>
        <w:widowControl w:val="0"/>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eastAsia="zh-CN"/>
        </w:rPr>
        <w:t>4</w:t>
      </w:r>
      <w:r>
        <w:rPr>
          <w:rFonts w:ascii="仿宋_GB2312" w:hAnsi="Times New Roman" w:eastAsia="仿宋_GB2312" w:cs="Times New Roman"/>
          <w:b/>
          <w:bCs/>
          <w:color w:val="auto"/>
          <w:sz w:val="28"/>
          <w:szCs w:val="28"/>
          <w:lang w:val="en-US" w:eastAsia="zh-CN"/>
        </w:rPr>
        <w:t>2</w:t>
      </w:r>
      <w:r>
        <w:rPr>
          <w:rFonts w:ascii="仿宋_GB2312" w:hAnsi="Times New Roman" w:eastAsia="仿宋_GB2312" w:cs="Times New Roman"/>
          <w:b/>
          <w:bCs/>
          <w:color w:val="auto"/>
          <w:sz w:val="28"/>
          <w:szCs w:val="28"/>
          <w:lang w:eastAsia="zh-CN"/>
        </w:rPr>
        <w:t>.接受和拒绝任何或所有投标的权利</w:t>
      </w:r>
    </w:p>
    <w:p w14:paraId="049D4CFC">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如出现重大变故，采购任务取消情况，集中采购机构和采购人保留因此原因在授标之前任何时候接受或拒绝任何投标、以及宣布招标无效或拒绝所有投标的权利，对受影响的投标人不承担任何责任。</w:t>
      </w:r>
    </w:p>
    <w:p w14:paraId="334F971B">
      <w:pPr>
        <w:rPr>
          <w:color w:val="auto"/>
          <w:lang w:eastAsia="zh-CN"/>
        </w:rPr>
      </w:pPr>
    </w:p>
    <w:p w14:paraId="3CE8BDD5">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06" w:name="_Toc574236286"/>
      <w:bookmarkStart w:id="207" w:name="_Toc1674499174"/>
      <w:bookmarkStart w:id="208" w:name="_Toc289293782"/>
      <w:bookmarkStart w:id="209" w:name="_Toc1194929028_WPSOffice_Level2"/>
      <w:bookmarkStart w:id="210" w:name="_Toc155496134_WPSOffice_Level2"/>
      <w:bookmarkStart w:id="211" w:name="_Toc1835231440"/>
      <w:bookmarkStart w:id="212" w:name="_Toc1253526278"/>
      <w:bookmarkStart w:id="213" w:name="_Toc627288238"/>
      <w:bookmarkStart w:id="214" w:name="_Toc212998948_WPSOffice_Level2"/>
      <w:bookmarkStart w:id="215" w:name="_Toc285838294"/>
      <w:bookmarkStart w:id="216" w:name="_Toc2132928082"/>
      <w:bookmarkStart w:id="217" w:name="_Toc294849240"/>
      <w:r>
        <w:rPr>
          <w:rFonts w:hint="default" w:ascii="Times New Roman" w:hAnsi="Times New Roman" w:eastAsia="方正小标宋_GBK" w:cs="Times New Roman"/>
          <w:bCs/>
          <w:color w:val="auto"/>
          <w:kern w:val="0"/>
          <w:sz w:val="30"/>
          <w:szCs w:val="30"/>
          <w:lang w:val="en-US" w:eastAsia="zh-CN"/>
        </w:rPr>
        <w:t>七、授予合同</w:t>
      </w:r>
      <w:bookmarkEnd w:id="206"/>
      <w:bookmarkEnd w:id="207"/>
      <w:bookmarkEnd w:id="208"/>
      <w:bookmarkEnd w:id="209"/>
      <w:bookmarkEnd w:id="210"/>
      <w:bookmarkEnd w:id="211"/>
      <w:bookmarkEnd w:id="212"/>
      <w:bookmarkEnd w:id="213"/>
      <w:bookmarkEnd w:id="214"/>
      <w:bookmarkEnd w:id="215"/>
      <w:bookmarkEnd w:id="216"/>
      <w:bookmarkEnd w:id="217"/>
    </w:p>
    <w:p w14:paraId="3120C46D">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eastAsia="zh-CN"/>
        </w:rPr>
        <w:t>4</w:t>
      </w:r>
      <w:r>
        <w:rPr>
          <w:rFonts w:ascii="仿宋_GB2312" w:hAnsi="Times New Roman" w:eastAsia="仿宋_GB2312" w:cs="Times New Roman"/>
          <w:b/>
          <w:bCs/>
          <w:color w:val="auto"/>
          <w:sz w:val="28"/>
          <w:szCs w:val="28"/>
          <w:lang w:val="en-US" w:eastAsia="zh-CN"/>
        </w:rPr>
        <w:t>3</w:t>
      </w:r>
      <w:r>
        <w:rPr>
          <w:rFonts w:ascii="仿宋_GB2312" w:hAnsi="Times New Roman" w:eastAsia="仿宋_GB2312" w:cs="Times New Roman"/>
          <w:b/>
          <w:bCs/>
          <w:color w:val="auto"/>
          <w:sz w:val="28"/>
          <w:szCs w:val="28"/>
          <w:lang w:eastAsia="zh-CN"/>
        </w:rPr>
        <w:t>.合同授予标准</w:t>
      </w:r>
    </w:p>
    <w:p w14:paraId="2C73AB25">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除本章第4</w:t>
      </w:r>
      <w:r>
        <w:rPr>
          <w:rFonts w:ascii="仿宋_GB2312" w:hAnsi="Times New Roman" w:eastAsia="仿宋_GB2312" w:cs="Times New Roman"/>
          <w:color w:val="auto"/>
          <w:sz w:val="28"/>
          <w:szCs w:val="28"/>
          <w:lang w:val="en-US" w:eastAsia="zh-CN"/>
        </w:rPr>
        <w:t>2</w:t>
      </w:r>
      <w:r>
        <w:rPr>
          <w:rFonts w:ascii="仿宋_GB2312" w:hAnsi="Times New Roman" w:eastAsia="仿宋_GB2312" w:cs="Times New Roman"/>
          <w:color w:val="auto"/>
          <w:sz w:val="28"/>
          <w:szCs w:val="28"/>
          <w:lang w:eastAsia="zh-CN"/>
        </w:rPr>
        <w:t>条、</w:t>
      </w:r>
      <w:r>
        <w:rPr>
          <w:rFonts w:ascii="仿宋_GB2312" w:hAnsi="Times New Roman" w:eastAsia="仿宋_GB2312" w:cs="Times New Roman"/>
          <w:color w:val="auto"/>
          <w:sz w:val="28"/>
          <w:szCs w:val="28"/>
          <w:lang w:val="en-US" w:eastAsia="zh-CN"/>
        </w:rPr>
        <w:t>47条</w:t>
      </w:r>
      <w:r>
        <w:rPr>
          <w:rFonts w:ascii="仿宋_GB2312" w:hAnsi="Times New Roman" w:eastAsia="仿宋_GB2312" w:cs="Times New Roman"/>
          <w:color w:val="auto"/>
          <w:sz w:val="28"/>
          <w:szCs w:val="28"/>
          <w:lang w:eastAsia="zh-CN"/>
        </w:rPr>
        <w:t>的规定之外，采购人将把合同授予被确定为实质上响应招标文件要求并有履行合同能力的评审后综合得分最高的投标人。</w:t>
      </w:r>
    </w:p>
    <w:p w14:paraId="6E57BBB8">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eastAsia="zh-CN"/>
        </w:rPr>
        <w:t>4</w:t>
      </w:r>
      <w:r>
        <w:rPr>
          <w:rFonts w:ascii="仿宋_GB2312" w:hAnsi="Times New Roman" w:eastAsia="仿宋_GB2312" w:cs="Times New Roman"/>
          <w:b/>
          <w:bCs/>
          <w:color w:val="auto"/>
          <w:sz w:val="28"/>
          <w:szCs w:val="28"/>
          <w:lang w:val="en-US" w:eastAsia="zh-CN"/>
        </w:rPr>
        <w:t>4</w:t>
      </w:r>
      <w:r>
        <w:rPr>
          <w:rFonts w:ascii="仿宋_GB2312" w:hAnsi="Times New Roman" w:eastAsia="仿宋_GB2312" w:cs="Times New Roman"/>
          <w:b/>
          <w:bCs/>
          <w:color w:val="auto"/>
          <w:sz w:val="28"/>
          <w:szCs w:val="28"/>
          <w:lang w:eastAsia="zh-CN"/>
        </w:rPr>
        <w:t>.合同授予时更改采购服务数量的权利</w:t>
      </w:r>
    </w:p>
    <w:p w14:paraId="5726A080">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采购人在授予合同时有权在“投标人须知前附表”规定的范围内，对项目需求中规定的货物的数量予以增加，但不得对货物单价及伴随服务内容或其它实质性的条款和条件做任何改变。</w:t>
      </w:r>
    </w:p>
    <w:p w14:paraId="3CF66712">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val="en-US" w:eastAsia="zh-CN"/>
        </w:rPr>
        <w:t>45.</w:t>
      </w:r>
      <w:r>
        <w:rPr>
          <w:rFonts w:ascii="仿宋_GB2312" w:hAnsi="Times New Roman" w:eastAsia="仿宋_GB2312" w:cs="Times New Roman"/>
          <w:b/>
          <w:bCs/>
          <w:color w:val="auto"/>
          <w:sz w:val="28"/>
          <w:szCs w:val="28"/>
          <w:lang w:eastAsia="zh-CN"/>
        </w:rPr>
        <w:t>签订合同</w:t>
      </w:r>
    </w:p>
    <w:p w14:paraId="78B29C3A">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4</w:t>
      </w:r>
      <w:r>
        <w:rPr>
          <w:rFonts w:ascii="仿宋_GB2312" w:hAnsi="Times New Roman" w:eastAsia="仿宋_GB2312" w:cs="Times New Roman"/>
          <w:color w:val="auto"/>
          <w:sz w:val="28"/>
          <w:szCs w:val="28"/>
          <w:lang w:val="en-US" w:eastAsia="zh-CN"/>
        </w:rPr>
        <w:t>5</w:t>
      </w:r>
      <w:r>
        <w:rPr>
          <w:rFonts w:ascii="仿宋_GB2312" w:hAnsi="Times New Roman" w:eastAsia="仿宋_GB2312" w:cs="Times New Roman"/>
          <w:color w:val="auto"/>
          <w:sz w:val="28"/>
          <w:szCs w:val="28"/>
          <w:lang w:eastAsia="zh-CN"/>
        </w:rPr>
        <w:t>.1采购人应当自中标通知书发出之日起15日内，按照招标文件和中标人投标文件的规定，与中标人签订书面合同。所签订的合同不得对招标文件确定的事项和中标人投标文件作实质性修改。</w:t>
      </w:r>
    </w:p>
    <w:p w14:paraId="03314FE6">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4</w:t>
      </w:r>
      <w:r>
        <w:rPr>
          <w:rFonts w:ascii="仿宋_GB2312" w:hAnsi="Times New Roman" w:eastAsia="仿宋_GB2312" w:cs="Times New Roman"/>
          <w:color w:val="auto"/>
          <w:sz w:val="28"/>
          <w:szCs w:val="28"/>
          <w:lang w:val="en-US" w:eastAsia="zh-CN"/>
        </w:rPr>
        <w:t>5</w:t>
      </w:r>
      <w:r>
        <w:rPr>
          <w:rFonts w:ascii="仿宋_GB2312" w:hAnsi="Times New Roman" w:eastAsia="仿宋_GB2312" w:cs="Times New Roman"/>
          <w:color w:val="auto"/>
          <w:sz w:val="28"/>
          <w:szCs w:val="28"/>
          <w:lang w:eastAsia="zh-CN"/>
        </w:rPr>
        <w:t>.2招标文件、中标人的投标文件和澄清文件等，均应作为签约的合同文本的基础。</w:t>
      </w:r>
    </w:p>
    <w:p w14:paraId="1A233BA8">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4</w:t>
      </w:r>
      <w:r>
        <w:rPr>
          <w:rFonts w:ascii="仿宋_GB2312" w:hAnsi="Times New Roman" w:eastAsia="仿宋_GB2312" w:cs="Times New Roman"/>
          <w:color w:val="auto"/>
          <w:sz w:val="28"/>
          <w:szCs w:val="28"/>
          <w:lang w:val="en-US" w:eastAsia="zh-CN"/>
        </w:rPr>
        <w:t>5</w:t>
      </w:r>
      <w:r>
        <w:rPr>
          <w:rFonts w:ascii="仿宋_GB2312" w:hAnsi="Times New Roman" w:eastAsia="仿宋_GB2312" w:cs="Times New Roman"/>
          <w:color w:val="auto"/>
          <w:sz w:val="28"/>
          <w:szCs w:val="28"/>
          <w:lang w:eastAsia="zh-CN"/>
        </w:rPr>
        <w:t>.3如采购人对中标人拒签合同，依照《中华人民共和国政府采购法》《中华人民共和国政府采购法实施条例》《政府采购货物和服务招标投标管理办法》（财政部令第87号）等规定承担相应的违约责任。</w:t>
      </w:r>
    </w:p>
    <w:p w14:paraId="4E88994F">
      <w:pPr>
        <w:spacing w:line="360" w:lineRule="auto"/>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b/>
          <w:bCs/>
          <w:color w:val="auto"/>
          <w:sz w:val="28"/>
          <w:szCs w:val="28"/>
          <w:lang w:val="en-US" w:eastAsia="zh-CN"/>
        </w:rPr>
        <w:t>46.</w:t>
      </w:r>
      <w:r>
        <w:rPr>
          <w:rFonts w:ascii="仿宋_GB2312" w:hAnsi="Times New Roman" w:eastAsia="仿宋_GB2312" w:cs="Times New Roman"/>
          <w:b/>
          <w:bCs/>
          <w:color w:val="auto"/>
          <w:sz w:val="28"/>
          <w:szCs w:val="28"/>
          <w:lang w:eastAsia="zh-CN"/>
        </w:rPr>
        <w:t>履约保证金</w:t>
      </w:r>
    </w:p>
    <w:p w14:paraId="69D93B58">
      <w:pPr>
        <w:spacing w:line="360" w:lineRule="auto"/>
        <w:rPr>
          <w:rFonts w:hint="eastAsia" w:ascii="仿宋_GB2312" w:hAnsi="Times New Roman" w:eastAsia="仿宋_GB2312" w:cs="Times New Roman"/>
          <w:color w:val="auto"/>
          <w:sz w:val="28"/>
          <w:szCs w:val="28"/>
          <w:lang w:eastAsia="zh-CN"/>
        </w:rPr>
      </w:pPr>
      <w:r>
        <w:rPr>
          <w:rFonts w:hint="eastAsia" w:ascii="仿宋_GB2312" w:hAnsi="Times New Roman" w:eastAsia="仿宋_GB2312" w:cs="Times New Roman"/>
          <w:color w:val="auto"/>
          <w:sz w:val="28"/>
          <w:szCs w:val="28"/>
          <w:lang w:eastAsia="zh-CN"/>
        </w:rPr>
        <w:t>中标人应按招标文件的规定向采购人提交履约保证金，中标人应当以支票、汇票、本票或者金融机构、担保机构出具的保函等非现金形式提交。采购人不得以中标人事先缴纳履约保证金作为签订合同的条件,并应在中标人履行完合同约定义务事项后及时退还。</w:t>
      </w:r>
    </w:p>
    <w:p w14:paraId="1510E200">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b/>
          <w:bCs/>
          <w:color w:val="auto"/>
          <w:sz w:val="28"/>
          <w:szCs w:val="28"/>
          <w:lang w:val="en-US" w:eastAsia="zh-CN"/>
        </w:rPr>
        <w:t>47.</w:t>
      </w:r>
      <w:r>
        <w:rPr>
          <w:rFonts w:ascii="仿宋_GB2312" w:hAnsi="Times New Roman" w:eastAsia="仿宋_GB2312" w:cs="Times New Roman"/>
          <w:color w:val="auto"/>
          <w:sz w:val="28"/>
          <w:szCs w:val="28"/>
          <w:lang w:eastAsia="zh-CN"/>
        </w:rPr>
        <w:t>如中标人不按本章第4</w:t>
      </w:r>
      <w:r>
        <w:rPr>
          <w:rFonts w:ascii="仿宋_GB2312" w:hAnsi="Times New Roman" w:eastAsia="仿宋_GB2312" w:cs="Times New Roman"/>
          <w:color w:val="auto"/>
          <w:sz w:val="28"/>
          <w:szCs w:val="28"/>
          <w:lang w:val="en-US" w:eastAsia="zh-CN"/>
        </w:rPr>
        <w:t>5</w:t>
      </w:r>
      <w:r>
        <w:rPr>
          <w:rFonts w:ascii="仿宋_GB2312" w:hAnsi="Times New Roman" w:eastAsia="仿宋_GB2312" w:cs="Times New Roman"/>
          <w:color w:val="auto"/>
          <w:sz w:val="28"/>
          <w:szCs w:val="28"/>
          <w:lang w:eastAsia="zh-CN"/>
        </w:rPr>
        <w:t>条约定签订合同，依照《中华人民共和国政府采购法》《中华人民共和国政府采购法实施条例》《政府采购货物和服务招标投标管理办法》（财政部令第87号）等规定</w:t>
      </w:r>
      <w:r>
        <w:rPr>
          <w:rFonts w:ascii="仿宋_GB2312" w:hAnsi="Times New Roman" w:eastAsia="仿宋_GB2312" w:cs="Times New Roman"/>
          <w:color w:val="auto"/>
          <w:sz w:val="28"/>
          <w:szCs w:val="28"/>
          <w:lang w:val="en-US" w:eastAsia="zh-CN"/>
        </w:rPr>
        <w:t>承</w:t>
      </w:r>
      <w:r>
        <w:rPr>
          <w:rFonts w:ascii="仿宋_GB2312" w:hAnsi="Times New Roman" w:eastAsia="仿宋_GB2312" w:cs="Times New Roman"/>
          <w:color w:val="auto"/>
          <w:sz w:val="28"/>
          <w:szCs w:val="28"/>
          <w:lang w:eastAsia="zh-CN"/>
        </w:rPr>
        <w:t>担相应的违约责任）。采购人可在按照评标报告推荐的中标候选人名单排序，确定下一中标候选人为中标人，也可以重新开展政府采购活动。</w:t>
      </w:r>
    </w:p>
    <w:p w14:paraId="3E2F0B47">
      <w:pPr>
        <w:keepNext/>
        <w:keepLines/>
        <w:spacing w:line="360" w:lineRule="auto"/>
        <w:rPr>
          <w:rFonts w:hint="default" w:ascii="仿宋_GB2312" w:hAnsi="Times New Roman" w:eastAsia="仿宋_GB2312" w:cs="Times New Roman"/>
          <w:b/>
          <w:color w:val="auto"/>
          <w:kern w:val="0"/>
          <w:sz w:val="28"/>
          <w:szCs w:val="28"/>
          <w:lang w:val="en-US" w:eastAsia="zh-CN"/>
        </w:rPr>
      </w:pPr>
      <w:r>
        <w:rPr>
          <w:rFonts w:ascii="仿宋_GB2312" w:hAnsi="Times New Roman" w:eastAsia="仿宋_GB2312" w:cs="Times New Roman"/>
          <w:b/>
          <w:color w:val="auto"/>
          <w:kern w:val="0"/>
          <w:sz w:val="28"/>
          <w:szCs w:val="28"/>
          <w:lang w:val="en-US" w:eastAsia="zh-CN"/>
        </w:rPr>
        <w:t>48.招标代理费</w:t>
      </w:r>
    </w:p>
    <w:p w14:paraId="51045AD6">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本项目是否由中标人向</w:t>
      </w:r>
      <w:r>
        <w:rPr>
          <w:rFonts w:ascii="仿宋_GB2312" w:hAnsi="Times New Roman" w:eastAsia="仿宋_GB2312" w:cs="Times New Roman"/>
          <w:color w:val="auto"/>
          <w:sz w:val="28"/>
          <w:szCs w:val="28"/>
          <w:lang w:val="en" w:eastAsia="zh-CN"/>
        </w:rPr>
        <w:t>集中采购机构</w:t>
      </w:r>
      <w:r>
        <w:rPr>
          <w:rFonts w:ascii="仿宋_GB2312" w:hAnsi="Times New Roman" w:eastAsia="仿宋_GB2312" w:cs="Times New Roman"/>
          <w:color w:val="auto"/>
          <w:sz w:val="28"/>
          <w:szCs w:val="28"/>
          <w:lang w:val="en-US" w:eastAsia="zh-CN"/>
        </w:rPr>
        <w:t>支付招标代理费，按照投标人须知前附表规定执行。</w:t>
      </w:r>
    </w:p>
    <w:p w14:paraId="7514E356">
      <w:pPr>
        <w:keepNext/>
        <w:keepLines/>
        <w:spacing w:line="360" w:lineRule="auto"/>
        <w:rPr>
          <w:rFonts w:hint="default" w:ascii="仿宋_GB2312" w:hAnsi="Times New Roman" w:eastAsia="仿宋_GB2312" w:cs="Times New Roman"/>
          <w:b/>
          <w:color w:val="auto"/>
          <w:kern w:val="0"/>
          <w:sz w:val="28"/>
          <w:szCs w:val="28"/>
          <w:lang w:val="en-US" w:eastAsia="zh-CN"/>
        </w:rPr>
      </w:pPr>
      <w:r>
        <w:rPr>
          <w:rFonts w:ascii="仿宋_GB2312" w:hAnsi="Times New Roman" w:eastAsia="仿宋_GB2312" w:cs="Times New Roman"/>
          <w:b/>
          <w:color w:val="auto"/>
          <w:kern w:val="0"/>
          <w:sz w:val="28"/>
          <w:szCs w:val="28"/>
          <w:lang w:val="en-US" w:eastAsia="zh-CN"/>
        </w:rPr>
        <w:t>49.质疑的提出与接收</w:t>
      </w:r>
    </w:p>
    <w:p w14:paraId="3B88365A">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49.1投标人认为招标文件、招标过程和中标结果使自己的权益受到损害的，可以根据《中华人民共和国政府采购法》《中华人民共和国政府采购法实施条例》《政府采购质疑和投诉办法》的有关规定，依法向采购人或其委托的</w:t>
      </w:r>
      <w:r>
        <w:rPr>
          <w:rFonts w:ascii="仿宋_GB2312" w:hAnsi="Times New Roman" w:eastAsia="仿宋_GB2312" w:cs="Times New Roman"/>
          <w:color w:val="auto"/>
          <w:sz w:val="28"/>
          <w:szCs w:val="28"/>
          <w:lang w:val="en" w:eastAsia="zh-CN"/>
        </w:rPr>
        <w:t>集中采购机构</w:t>
      </w:r>
      <w:r>
        <w:rPr>
          <w:rFonts w:ascii="仿宋_GB2312" w:hAnsi="Times New Roman" w:eastAsia="仿宋_GB2312" w:cs="Times New Roman"/>
          <w:color w:val="auto"/>
          <w:sz w:val="28"/>
          <w:szCs w:val="28"/>
          <w:lang w:val="en-US" w:eastAsia="zh-CN"/>
        </w:rPr>
        <w:t>提出书面质疑。</w:t>
      </w:r>
    </w:p>
    <w:p w14:paraId="7205B57A">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49.2质疑投标人应按照《政府采购质疑和投诉办法》的要求，在法定质疑期内以书面形式提出质疑，针对同一采购程序环节的质疑次数应符合投标人须知前附表的规定。</w:t>
      </w:r>
    </w:p>
    <w:p w14:paraId="596B9653">
      <w:pPr>
        <w:spacing w:line="360" w:lineRule="auto"/>
        <w:rPr>
          <w:rFonts w:hint="default" w:ascii="仿宋_GB2312" w:hAnsi="Times New Roman" w:eastAsia="仿宋_GB2312" w:cs="Times New Roman"/>
          <w:color w:val="auto"/>
          <w:sz w:val="28"/>
          <w:szCs w:val="28"/>
          <w:lang w:val="en-US" w:eastAsia="zh-CN"/>
        </w:rPr>
      </w:pPr>
      <w:r>
        <w:rPr>
          <w:rFonts w:hint="default" w:ascii="仿宋_GB2312" w:hAnsi="Times New Roman" w:eastAsia="仿宋_GB2312" w:cs="Times New Roman"/>
          <w:color w:val="auto"/>
          <w:sz w:val="28"/>
          <w:szCs w:val="28"/>
          <w:lang w:val="en-US" w:eastAsia="zh-CN"/>
        </w:rPr>
        <w:t>49.3 质疑投标人对采购人、采购代理机构的答复不满意，或者采购人、采购代理机构未在规定时间内作出答复的，可以在答复期满后15个工作日内向省级财政部门提起投诉。投诉人投诉时，请按照《政府采购质疑和投诉办法》（财政部第94号令）的要求提交相关内容及材料。</w:t>
      </w:r>
    </w:p>
    <w:p w14:paraId="67FEF4A2">
      <w:pPr>
        <w:spacing w:line="360" w:lineRule="auto"/>
        <w:rPr>
          <w:rFonts w:hint="default" w:ascii="Times New Roman" w:hAnsi="Times New Roman" w:eastAsia="仿宋_GB2312" w:cs="Times New Roman"/>
          <w:color w:val="auto"/>
          <w:sz w:val="28"/>
          <w:szCs w:val="28"/>
          <w:lang w:eastAsia="zh-CN"/>
        </w:rPr>
      </w:pPr>
    </w:p>
    <w:p w14:paraId="1CAD8EB1">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18" w:name="_Toc691566780"/>
      <w:bookmarkStart w:id="219" w:name="_Toc2106161628_WPSOffice_Level2"/>
      <w:bookmarkStart w:id="220" w:name="_Toc1226187921"/>
      <w:bookmarkStart w:id="221" w:name="_Toc1108985532"/>
      <w:bookmarkStart w:id="222" w:name="_Toc512476358"/>
      <w:bookmarkStart w:id="223" w:name="_Toc1766978063_WPSOffice_Level2"/>
      <w:bookmarkStart w:id="224" w:name="_Toc2050602757_WPSOffice_Level2"/>
      <w:bookmarkStart w:id="225" w:name="_Toc1615377744"/>
      <w:bookmarkStart w:id="226" w:name="_Toc1400468441"/>
      <w:bookmarkStart w:id="227" w:name="_Toc65811364"/>
      <w:bookmarkStart w:id="228" w:name="_Toc1789726127"/>
      <w:bookmarkStart w:id="229" w:name="_Toc2042622906"/>
      <w:r>
        <w:rPr>
          <w:rFonts w:hint="default" w:ascii="Times New Roman" w:hAnsi="Times New Roman" w:eastAsia="方正小标宋_GBK" w:cs="Times New Roman"/>
          <w:bCs/>
          <w:color w:val="auto"/>
          <w:kern w:val="0"/>
          <w:sz w:val="30"/>
          <w:szCs w:val="30"/>
          <w:lang w:val="en-US" w:eastAsia="zh-CN"/>
        </w:rPr>
        <w:t>八、需要补充的其他内容</w:t>
      </w:r>
      <w:bookmarkEnd w:id="218"/>
      <w:bookmarkEnd w:id="219"/>
      <w:bookmarkEnd w:id="220"/>
      <w:bookmarkEnd w:id="221"/>
      <w:bookmarkEnd w:id="222"/>
      <w:bookmarkEnd w:id="223"/>
      <w:bookmarkEnd w:id="224"/>
      <w:bookmarkEnd w:id="225"/>
      <w:bookmarkEnd w:id="226"/>
      <w:bookmarkEnd w:id="227"/>
      <w:bookmarkEnd w:id="228"/>
      <w:bookmarkEnd w:id="229"/>
    </w:p>
    <w:p w14:paraId="312415D4">
      <w:pPr>
        <w:spacing w:line="360" w:lineRule="auto"/>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b/>
          <w:bCs/>
          <w:color w:val="auto"/>
          <w:sz w:val="28"/>
          <w:szCs w:val="28"/>
          <w:lang w:val="en-US" w:eastAsia="zh-CN"/>
        </w:rPr>
        <w:t>50</w:t>
      </w:r>
      <w:r>
        <w:rPr>
          <w:rFonts w:ascii="仿宋_GB2312" w:hAnsi="Times New Roman" w:eastAsia="仿宋_GB2312" w:cs="Times New Roman"/>
          <w:b/>
          <w:bCs/>
          <w:color w:val="auto"/>
          <w:sz w:val="28"/>
          <w:szCs w:val="28"/>
          <w:lang w:eastAsia="zh-CN"/>
        </w:rPr>
        <w:t>.</w:t>
      </w:r>
      <w:r>
        <w:rPr>
          <w:rFonts w:ascii="仿宋_GB2312" w:hAnsi="Times New Roman" w:eastAsia="仿宋_GB2312" w:cs="Times New Roman"/>
          <w:color w:val="auto"/>
          <w:sz w:val="28"/>
          <w:szCs w:val="28"/>
          <w:lang w:eastAsia="zh-CN"/>
        </w:rPr>
        <w:t>需要补充的其他内容：见“投标人须知前附表”。</w:t>
      </w:r>
    </w:p>
    <w:p w14:paraId="7727F79A">
      <w:pPr>
        <w:pStyle w:val="2"/>
        <w:spacing w:before="0" w:after="0" w:line="360" w:lineRule="auto"/>
        <w:jc w:val="center"/>
        <w:rPr>
          <w:rFonts w:ascii="Times New Roman" w:hAnsi="Times New Roman" w:eastAsia="宋体"/>
          <w:color w:val="auto"/>
          <w:sz w:val="36"/>
          <w:szCs w:val="36"/>
          <w:lang w:val="en-US" w:eastAsia="zh-CN"/>
        </w:rPr>
      </w:pPr>
      <w:r>
        <w:rPr>
          <w:rFonts w:ascii="Times New Roman" w:hAnsi="Times New Roman"/>
          <w:color w:val="auto"/>
          <w:lang w:eastAsia="zh-CN"/>
        </w:rPr>
        <w:br w:type="page"/>
      </w:r>
      <w:bookmarkEnd w:id="121"/>
      <w:bookmarkEnd w:id="122"/>
      <w:bookmarkEnd w:id="123"/>
      <w:bookmarkStart w:id="230" w:name="_Toc1644299675"/>
      <w:bookmarkStart w:id="231" w:name="_Toc300363790"/>
      <w:bookmarkStart w:id="232" w:name="_Toc642928449_WPSOffice_Level1"/>
      <w:bookmarkStart w:id="233" w:name="_Toc310774132_WPSOffice_Level1"/>
      <w:bookmarkStart w:id="234" w:name="_Toc1772010121"/>
      <w:bookmarkStart w:id="235" w:name="_Toc335147862_WPSOffice_Level1"/>
      <w:bookmarkStart w:id="236" w:name="_Toc2024009066"/>
      <w:bookmarkStart w:id="237" w:name="_Toc63558279_WPSOffice_Level1"/>
      <w:bookmarkStart w:id="238" w:name="_Toc28913"/>
      <w:bookmarkStart w:id="239" w:name="_Toc140667688"/>
      <w:bookmarkStart w:id="240" w:name="_Toc74311171"/>
      <w:bookmarkStart w:id="241" w:name="_Toc764191523_WPSOffice_Level1"/>
      <w:bookmarkStart w:id="242" w:name="_Toc308141697"/>
      <w:bookmarkStart w:id="243" w:name="_Toc839610870"/>
      <w:bookmarkStart w:id="244" w:name="_Toc2100027940"/>
      <w:bookmarkStart w:id="245" w:name="_Toc1340807913"/>
      <w:bookmarkStart w:id="246" w:name="_Toc1415346380_WPSOffice_Level1"/>
      <w:bookmarkStart w:id="247" w:name="_Toc237350522_WPSOffice_Level1"/>
      <w:bookmarkStart w:id="248" w:name="_Toc1839196008_WPSOffice_Level1"/>
      <w:r>
        <w:rPr>
          <w:rFonts w:ascii="Times New Roman" w:hAnsi="Times New Roman" w:eastAsia="宋体"/>
          <w:color w:val="auto"/>
          <w:sz w:val="36"/>
          <w:szCs w:val="36"/>
          <w:lang w:val="en-US" w:eastAsia="zh-CN"/>
        </w:rPr>
        <w:t xml:space="preserve">第四章 </w:t>
      </w:r>
      <w:r>
        <w:rPr>
          <w:rFonts w:ascii="Times New Roman" w:hAnsi="Times New Roman" w:eastAsia="宋体"/>
          <w:color w:val="auto"/>
          <w:sz w:val="36"/>
          <w:szCs w:val="36"/>
          <w:lang w:eastAsia="zh-CN"/>
        </w:rPr>
        <w:t>资格证明文件格式</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72316446">
      <w:pPr>
        <w:jc w:val="center"/>
        <w:rPr>
          <w:rFonts w:hint="default" w:ascii="Times New Roman" w:hAnsi="Times New Roman" w:eastAsia="宋体" w:cs="Times New Roman"/>
          <w:color w:val="auto"/>
          <w:sz w:val="48"/>
          <w:szCs w:val="48"/>
          <w:lang w:eastAsia="zh-CN"/>
        </w:rPr>
      </w:pPr>
    </w:p>
    <w:bookmarkEnd w:id="246"/>
    <w:bookmarkEnd w:id="247"/>
    <w:bookmarkEnd w:id="248"/>
    <w:p w14:paraId="341BB667">
      <w:pPr>
        <w:tabs>
          <w:tab w:val="left" w:pos="1950"/>
        </w:tabs>
        <w:jc w:val="center"/>
        <w:rPr>
          <w:rFonts w:hint="default" w:ascii="Times New Roman" w:hAnsi="Times New Roman" w:eastAsia="宋体" w:cs="Times New Roman"/>
          <w:b/>
          <w:bCs/>
          <w:color w:val="auto"/>
          <w:sz w:val="56"/>
          <w:szCs w:val="56"/>
          <w:lang w:val="en" w:eastAsia="zh-CN"/>
        </w:rPr>
      </w:pPr>
      <w:r>
        <w:rPr>
          <w:rFonts w:ascii="Times New Roman" w:hAnsi="Times New Roman" w:eastAsia="宋体" w:cs="Times New Roman"/>
          <w:b/>
          <w:bCs/>
          <w:color w:val="auto"/>
          <w:sz w:val="56"/>
          <w:szCs w:val="56"/>
          <w:lang w:val="en" w:eastAsia="zh-CN"/>
        </w:rPr>
        <w:t>新乡医学院第一附属医院信息化基础设施及安全能力提升项目</w:t>
      </w:r>
    </w:p>
    <w:p w14:paraId="7D709CFA">
      <w:pPr>
        <w:tabs>
          <w:tab w:val="left" w:pos="1950"/>
        </w:tabs>
        <w:jc w:val="center"/>
        <w:rPr>
          <w:rFonts w:hint="default" w:ascii="Times New Roman" w:hAnsi="Times New Roman" w:eastAsia="宋体" w:cs="Times New Roman"/>
          <w:b/>
          <w:bCs/>
          <w:color w:val="auto"/>
          <w:lang w:val="en-US" w:eastAsia="zh-CN"/>
        </w:rPr>
      </w:pPr>
    </w:p>
    <w:p w14:paraId="3973BDA6">
      <w:pPr>
        <w:tabs>
          <w:tab w:val="left" w:pos="1950"/>
        </w:tabs>
        <w:jc w:val="left"/>
        <w:rPr>
          <w:rFonts w:hint="default" w:ascii="Times New Roman" w:hAnsi="Times New Roman" w:eastAsia="宋体" w:cs="Times New Roman"/>
          <w:b/>
          <w:bCs/>
          <w:color w:val="auto"/>
          <w:lang w:val="en-US" w:eastAsia="zh-CN"/>
        </w:rPr>
      </w:pPr>
    </w:p>
    <w:p w14:paraId="20D104BA">
      <w:pPr>
        <w:tabs>
          <w:tab w:val="left" w:pos="1950"/>
        </w:tabs>
        <w:jc w:val="left"/>
        <w:rPr>
          <w:rFonts w:hint="default" w:ascii="Times New Roman" w:hAnsi="Times New Roman" w:eastAsia="宋体" w:cs="Times New Roman"/>
          <w:b/>
          <w:bCs/>
          <w:color w:val="auto"/>
          <w:lang w:val="en-US" w:eastAsia="zh-CN"/>
        </w:rPr>
      </w:pPr>
    </w:p>
    <w:p w14:paraId="7142B1AC">
      <w:pPr>
        <w:jc w:val="center"/>
        <w:rPr>
          <w:rFonts w:hint="default" w:ascii="Times New Roman" w:hAnsi="Times New Roman" w:eastAsia="宋体" w:cs="Times New Roman"/>
          <w:b/>
          <w:bCs/>
          <w:color w:val="auto"/>
          <w:sz w:val="96"/>
          <w:szCs w:val="96"/>
          <w:lang w:eastAsia="zh-CN"/>
        </w:rPr>
      </w:pPr>
      <w:r>
        <w:rPr>
          <w:rFonts w:hint="default" w:ascii="Times New Roman" w:hAnsi="Times New Roman" w:eastAsia="宋体" w:cs="Times New Roman"/>
          <w:b/>
          <w:color w:val="auto"/>
          <w:sz w:val="96"/>
          <w:szCs w:val="96"/>
          <w:lang w:eastAsia="zh-CN"/>
        </w:rPr>
        <w:t>资格证明文件</w:t>
      </w:r>
    </w:p>
    <w:p w14:paraId="7E727AC7">
      <w:pPr>
        <w:widowControl w:val="0"/>
        <w:tabs>
          <w:tab w:val="left" w:pos="1950"/>
        </w:tabs>
        <w:jc w:val="center"/>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val="en" w:eastAsia="zh-CN"/>
        </w:rPr>
        <w:t>豫财招标采购-2024-1257</w:t>
      </w:r>
    </w:p>
    <w:p w14:paraId="5518FFF3">
      <w:pPr>
        <w:widowControl w:val="0"/>
        <w:tabs>
          <w:tab w:val="left" w:pos="1950"/>
        </w:tabs>
        <w:jc w:val="center"/>
        <w:rPr>
          <w:rFonts w:hint="default" w:ascii="Times New Roman" w:hAnsi="Times New Roman" w:eastAsia="宋体" w:cs="Times New Roman"/>
          <w:b/>
          <w:color w:val="auto"/>
          <w:spacing w:val="20"/>
          <w:w w:val="150"/>
          <w:sz w:val="36"/>
          <w:szCs w:val="36"/>
          <w:lang w:val="en" w:eastAsia="zh-CN"/>
        </w:rPr>
      </w:pPr>
    </w:p>
    <w:p w14:paraId="0B4022CC">
      <w:pPr>
        <w:widowControl w:val="0"/>
        <w:spacing w:line="360" w:lineRule="auto"/>
        <w:ind w:left="1080" w:leftChars="257" w:hanging="540"/>
        <w:jc w:val="center"/>
        <w:rPr>
          <w:rFonts w:hint="default" w:ascii="Times New Roman" w:hAnsi="Times New Roman" w:eastAsia="宋体" w:cs="Times New Roman"/>
          <w:b/>
          <w:color w:val="auto"/>
          <w:sz w:val="52"/>
          <w:szCs w:val="24"/>
          <w:lang w:val="en-US" w:eastAsia="zh-CN"/>
        </w:rPr>
      </w:pPr>
    </w:p>
    <w:p w14:paraId="10A095FF">
      <w:pPr>
        <w:pStyle w:val="17"/>
      </w:pPr>
    </w:p>
    <w:p w14:paraId="1CF7D29C">
      <w:pPr>
        <w:widowControl w:val="0"/>
        <w:autoSpaceDE w:val="0"/>
        <w:autoSpaceDN w:val="0"/>
        <w:adjustRightInd w:val="0"/>
        <w:ind w:firstLine="1084" w:firstLineChars="30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695D6486">
      <w:pPr>
        <w:spacing w:line="360" w:lineRule="auto"/>
        <w:ind w:left="708"/>
        <w:jc w:val="center"/>
        <w:rPr>
          <w:rFonts w:hint="default" w:ascii="Times New Roman" w:hAnsi="Times New Roman" w:eastAsia="仿宋_GB2312" w:cs="Times New Roman"/>
          <w:color w:val="auto"/>
          <w:sz w:val="28"/>
          <w:szCs w:val="28"/>
          <w:lang w:val="en-US" w:eastAsia="zh-CN"/>
        </w:rPr>
      </w:pPr>
    </w:p>
    <w:p w14:paraId="6D74B812">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bookmarkStart w:id="249" w:name="_Toc1004915804_WPSOffice_Level3"/>
      <w:bookmarkStart w:id="250" w:name="_Toc32436634_WPSOffice_Level3"/>
    </w:p>
    <w:p w14:paraId="5987F2B7">
      <w:pPr>
        <w:jc w:val="center"/>
        <w:rPr>
          <w:rFonts w:hint="default" w:ascii="Times New Roman" w:hAnsi="Times New Roman" w:eastAsia="仿宋_GB2312" w:cs="Times New Roman"/>
          <w:b/>
          <w:bCs/>
          <w:color w:val="auto"/>
          <w:sz w:val="36"/>
          <w:szCs w:val="36"/>
          <w:lang w:val="en-US" w:eastAsia="zh-CN"/>
        </w:rPr>
      </w:pPr>
      <w:r>
        <w:rPr>
          <w:rFonts w:hint="default" w:ascii="Times New Roman" w:hAnsi="Times New Roman" w:eastAsia="仿宋_GB2312" w:cs="Times New Roman"/>
          <w:b/>
          <w:bCs/>
          <w:color w:val="auto"/>
          <w:sz w:val="36"/>
          <w:szCs w:val="36"/>
          <w:lang w:val="en-US" w:eastAsia="zh-CN"/>
        </w:rPr>
        <w:br w:type="page"/>
      </w:r>
      <w:r>
        <w:rPr>
          <w:rFonts w:hint="default" w:ascii="Times New Roman" w:hAnsi="Times New Roman" w:eastAsia="仿宋_GB2312" w:cs="Times New Roman"/>
          <w:b/>
          <w:bCs/>
          <w:color w:val="auto"/>
          <w:sz w:val="36"/>
          <w:szCs w:val="36"/>
          <w:lang w:val="en-US" w:eastAsia="zh-CN"/>
        </w:rPr>
        <w:t>目 录</w:t>
      </w:r>
    </w:p>
    <w:p w14:paraId="053D27F2">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p>
    <w:bookmarkEnd w:id="249"/>
    <w:bookmarkEnd w:id="250"/>
    <w:p w14:paraId="37EB3FDD">
      <w:pPr>
        <w:tabs>
          <w:tab w:val="left" w:pos="5580"/>
        </w:tabs>
        <w:spacing w:line="360" w:lineRule="auto"/>
        <w:ind w:firstLine="480"/>
        <w:rPr>
          <w:rFonts w:hint="default" w:ascii="仿宋_GB2312" w:hAnsi="Times New Roman" w:eastAsia="仿宋_GB2312" w:cs="Times New Roman"/>
          <w:b/>
          <w:bCs/>
          <w:color w:val="auto"/>
          <w:sz w:val="28"/>
          <w:szCs w:val="28"/>
          <w:lang w:eastAsia="zh-CN"/>
        </w:rPr>
      </w:pPr>
      <w:r>
        <w:rPr>
          <w:rFonts w:ascii="仿宋_GB2312" w:hAnsi="Times New Roman" w:eastAsia="仿宋_GB2312" w:cs="Times New Roman"/>
          <w:color w:val="auto"/>
          <w:sz w:val="28"/>
          <w:szCs w:val="28"/>
          <w:lang w:val="en-US" w:eastAsia="zh-CN"/>
        </w:rPr>
        <w:t>一、</w:t>
      </w:r>
      <w:r>
        <w:rPr>
          <w:rFonts w:ascii="仿宋_GB2312" w:hAnsi="Times New Roman" w:eastAsia="仿宋_GB2312" w:cs="Times New Roman"/>
          <w:color w:val="auto"/>
          <w:kern w:val="0"/>
          <w:sz w:val="28"/>
          <w:szCs w:val="28"/>
          <w:lang w:eastAsia="zh-CN"/>
        </w:rPr>
        <w:t>法人或者其他组织的营业执照等证明文件或自然人的身份证明</w:t>
      </w:r>
    </w:p>
    <w:p w14:paraId="2DAD5717">
      <w:pPr>
        <w:tabs>
          <w:tab w:val="left" w:pos="5580"/>
        </w:tabs>
        <w:spacing w:line="360" w:lineRule="auto"/>
        <w:ind w:firstLine="480"/>
        <w:rPr>
          <w:rFonts w:hint="default" w:ascii="仿宋_GB2312" w:hAnsi="Times New Roman" w:eastAsia="仿宋_GB2312" w:cs="Times New Roman"/>
          <w:color w:val="auto"/>
          <w:kern w:val="0"/>
          <w:sz w:val="28"/>
          <w:szCs w:val="28"/>
          <w:lang w:eastAsia="zh-CN"/>
        </w:rPr>
      </w:pPr>
      <w:bookmarkStart w:id="251" w:name="_Toc371659587_WPSOffice_Level3"/>
      <w:bookmarkStart w:id="252" w:name="_Toc835682095_WPSOffice_Level3"/>
      <w:r>
        <w:rPr>
          <w:rFonts w:ascii="仿宋_GB2312" w:hAnsi="Times New Roman" w:eastAsia="仿宋_GB2312" w:cs="Times New Roman"/>
          <w:color w:val="auto"/>
          <w:kern w:val="0"/>
          <w:sz w:val="28"/>
          <w:szCs w:val="28"/>
          <w:lang w:val="en-US" w:eastAsia="zh-CN"/>
        </w:rPr>
        <w:t>二、</w:t>
      </w:r>
      <w:r>
        <w:rPr>
          <w:rFonts w:ascii="仿宋_GB2312" w:hAnsi="Times New Roman" w:eastAsia="仿宋_GB2312" w:cs="Times New Roman"/>
          <w:color w:val="auto"/>
          <w:kern w:val="0"/>
          <w:sz w:val="28"/>
          <w:szCs w:val="28"/>
          <w:lang w:eastAsia="zh-CN"/>
        </w:rPr>
        <w:t>具有良好的商业信誉和健全的财务会计制度</w:t>
      </w:r>
      <w:bookmarkEnd w:id="251"/>
      <w:bookmarkEnd w:id="252"/>
    </w:p>
    <w:p w14:paraId="3AE0DF49">
      <w:pPr>
        <w:tabs>
          <w:tab w:val="left" w:pos="5580"/>
        </w:tabs>
        <w:spacing w:line="360" w:lineRule="auto"/>
        <w:ind w:firstLine="480"/>
        <w:rPr>
          <w:rFonts w:hint="default" w:ascii="仿宋_GB2312" w:hAnsi="Times New Roman" w:eastAsia="仿宋_GB2312" w:cs="Times New Roman"/>
          <w:color w:val="auto"/>
          <w:kern w:val="0"/>
          <w:sz w:val="28"/>
          <w:szCs w:val="28"/>
          <w:lang w:eastAsia="zh-CN"/>
        </w:rPr>
      </w:pPr>
      <w:bookmarkStart w:id="253" w:name="_Toc1104501183_WPSOffice_Level3"/>
      <w:bookmarkStart w:id="254" w:name="_Toc1150235750_WPSOffice_Level3"/>
      <w:r>
        <w:rPr>
          <w:rFonts w:ascii="仿宋_GB2312" w:hAnsi="Times New Roman" w:eastAsia="仿宋_GB2312" w:cs="Times New Roman"/>
          <w:color w:val="auto"/>
          <w:kern w:val="0"/>
          <w:sz w:val="28"/>
          <w:szCs w:val="28"/>
          <w:lang w:val="en-US" w:eastAsia="zh-CN"/>
        </w:rPr>
        <w:t>三、</w:t>
      </w:r>
      <w:r>
        <w:rPr>
          <w:rFonts w:ascii="仿宋_GB2312" w:hAnsi="Times New Roman" w:eastAsia="仿宋_GB2312" w:cs="Times New Roman"/>
          <w:color w:val="auto"/>
          <w:kern w:val="0"/>
          <w:sz w:val="28"/>
          <w:szCs w:val="28"/>
          <w:lang w:eastAsia="zh-CN"/>
        </w:rPr>
        <w:t>依法缴纳税收和社会保障资金的良好记录</w:t>
      </w:r>
      <w:bookmarkEnd w:id="253"/>
      <w:bookmarkEnd w:id="254"/>
    </w:p>
    <w:p w14:paraId="41831FF8">
      <w:pPr>
        <w:tabs>
          <w:tab w:val="left" w:pos="5580"/>
        </w:tabs>
        <w:spacing w:line="360" w:lineRule="auto"/>
        <w:ind w:firstLine="480"/>
        <w:rPr>
          <w:rFonts w:hint="default" w:ascii="仿宋_GB2312" w:hAnsi="Times New Roman" w:eastAsia="仿宋_GB2312" w:cs="Times New Roman"/>
          <w:color w:val="auto"/>
          <w:kern w:val="0"/>
          <w:sz w:val="28"/>
          <w:szCs w:val="28"/>
          <w:lang w:eastAsia="zh-CN"/>
        </w:rPr>
      </w:pPr>
      <w:bookmarkStart w:id="255" w:name="_Toc568308316_WPSOffice_Level3"/>
      <w:bookmarkStart w:id="256" w:name="_Toc765241243_WPSOffice_Level3"/>
      <w:bookmarkStart w:id="257" w:name="_Toc281235268_WPSOffice_Level3"/>
      <w:bookmarkStart w:id="258" w:name="_Toc2065680076_WPSOffice_Level3"/>
      <w:r>
        <w:rPr>
          <w:rFonts w:ascii="仿宋_GB2312" w:hAnsi="Times New Roman" w:eastAsia="仿宋_GB2312" w:cs="Times New Roman"/>
          <w:color w:val="auto"/>
          <w:kern w:val="0"/>
          <w:sz w:val="28"/>
          <w:szCs w:val="28"/>
          <w:lang w:val="en-US" w:eastAsia="zh-CN"/>
        </w:rPr>
        <w:t>四、</w:t>
      </w:r>
      <w:r>
        <w:rPr>
          <w:rFonts w:ascii="仿宋_GB2312" w:hAnsi="Times New Roman" w:eastAsia="仿宋_GB2312" w:cs="Times New Roman"/>
          <w:color w:val="auto"/>
          <w:kern w:val="0"/>
          <w:sz w:val="28"/>
          <w:szCs w:val="28"/>
          <w:lang w:eastAsia="zh-CN"/>
        </w:rPr>
        <w:t>具有履行合同所必需的设备和专业技术能力</w:t>
      </w:r>
      <w:bookmarkEnd w:id="255"/>
      <w:bookmarkEnd w:id="256"/>
    </w:p>
    <w:p w14:paraId="39D217C6">
      <w:pPr>
        <w:tabs>
          <w:tab w:val="left" w:pos="5580"/>
        </w:tabs>
        <w:spacing w:line="360" w:lineRule="auto"/>
        <w:ind w:firstLine="480"/>
        <w:rPr>
          <w:rFonts w:hint="default" w:ascii="仿宋_GB2312" w:hAnsi="Times New Roman" w:eastAsia="仿宋_GB2312" w:cs="Times New Roman"/>
          <w:color w:val="auto"/>
          <w:kern w:val="0"/>
          <w:sz w:val="28"/>
          <w:szCs w:val="28"/>
          <w:lang w:eastAsia="zh-CN"/>
        </w:rPr>
      </w:pPr>
      <w:r>
        <w:rPr>
          <w:rFonts w:ascii="仿宋_GB2312" w:hAnsi="Times New Roman" w:eastAsia="仿宋_GB2312" w:cs="Times New Roman"/>
          <w:color w:val="auto"/>
          <w:kern w:val="0"/>
          <w:sz w:val="28"/>
          <w:szCs w:val="28"/>
          <w:lang w:val="en-US" w:eastAsia="zh-CN"/>
        </w:rPr>
        <w:t>五、</w:t>
      </w:r>
      <w:r>
        <w:rPr>
          <w:rFonts w:ascii="仿宋_GB2312" w:hAnsi="Times New Roman" w:eastAsia="仿宋_GB2312" w:cs="Times New Roman"/>
          <w:color w:val="auto"/>
          <w:kern w:val="0"/>
          <w:sz w:val="28"/>
          <w:szCs w:val="28"/>
          <w:lang w:eastAsia="zh-CN"/>
        </w:rPr>
        <w:t>参加政府采购活动前</w:t>
      </w:r>
      <w:r>
        <w:rPr>
          <w:rFonts w:ascii="仿宋_GB2312" w:hAnsi="Times New Roman" w:eastAsia="仿宋_GB2312" w:cs="Times New Roman"/>
          <w:color w:val="auto"/>
          <w:kern w:val="0"/>
          <w:sz w:val="28"/>
          <w:szCs w:val="28"/>
          <w:lang w:val="en-US" w:eastAsia="zh-CN"/>
        </w:rPr>
        <w:t>3</w:t>
      </w:r>
      <w:r>
        <w:rPr>
          <w:rFonts w:ascii="仿宋_GB2312" w:hAnsi="Times New Roman" w:eastAsia="仿宋_GB2312" w:cs="Times New Roman"/>
          <w:color w:val="auto"/>
          <w:kern w:val="0"/>
          <w:sz w:val="28"/>
          <w:szCs w:val="28"/>
          <w:lang w:eastAsia="zh-CN"/>
        </w:rPr>
        <w:t>年内在经营活动中没有重大违法记录的</w:t>
      </w:r>
      <w:bookmarkEnd w:id="257"/>
      <w:bookmarkEnd w:id="258"/>
      <w:r>
        <w:rPr>
          <w:rFonts w:ascii="仿宋_GB2312" w:hAnsi="Times New Roman" w:eastAsia="仿宋_GB2312" w:cs="Times New Roman"/>
          <w:color w:val="auto"/>
          <w:kern w:val="0"/>
          <w:sz w:val="28"/>
          <w:szCs w:val="28"/>
          <w:lang w:eastAsia="zh-CN"/>
        </w:rPr>
        <w:t>声明</w:t>
      </w:r>
    </w:p>
    <w:p w14:paraId="53E5F692">
      <w:pPr>
        <w:tabs>
          <w:tab w:val="left" w:pos="5580"/>
        </w:tabs>
        <w:spacing w:line="360" w:lineRule="auto"/>
        <w:ind w:firstLine="480"/>
        <w:rPr>
          <w:rFonts w:hint="default" w:ascii="仿宋_GB2312" w:hAnsi="Times New Roman" w:eastAsia="仿宋_GB2312" w:cs="Times New Roman"/>
          <w:color w:val="auto"/>
          <w:kern w:val="0"/>
          <w:sz w:val="28"/>
          <w:szCs w:val="28"/>
          <w:lang w:eastAsia="zh-CN"/>
        </w:rPr>
      </w:pPr>
      <w:bookmarkStart w:id="259" w:name="_Toc2005223374_WPSOffice_Level3"/>
      <w:bookmarkStart w:id="260" w:name="_Toc141596040_WPSOffice_Level3"/>
      <w:r>
        <w:rPr>
          <w:rFonts w:ascii="仿宋_GB2312" w:hAnsi="Times New Roman" w:eastAsia="仿宋_GB2312" w:cs="Times New Roman"/>
          <w:color w:val="auto"/>
          <w:kern w:val="0"/>
          <w:sz w:val="28"/>
          <w:szCs w:val="28"/>
          <w:lang w:val="en-US" w:eastAsia="zh-CN"/>
        </w:rPr>
        <w:t>六、</w:t>
      </w:r>
      <w:r>
        <w:rPr>
          <w:rFonts w:ascii="仿宋_GB2312" w:hAnsi="Times New Roman" w:eastAsia="仿宋_GB2312" w:cs="Times New Roman"/>
          <w:color w:val="auto"/>
          <w:kern w:val="0"/>
          <w:sz w:val="28"/>
          <w:szCs w:val="28"/>
          <w:lang w:eastAsia="zh-CN"/>
        </w:rPr>
        <w:t>其他资格证明文件</w:t>
      </w:r>
      <w:bookmarkEnd w:id="259"/>
      <w:bookmarkEnd w:id="260"/>
    </w:p>
    <w:p w14:paraId="1CB1A275">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694B14CA">
      <w:pPr>
        <w:jc w:val="left"/>
        <w:rPr>
          <w:rFonts w:hint="default" w:ascii="Times New Roman" w:hAnsi="Times New Roman" w:eastAsia="宋体" w:cs="Times New Roman"/>
          <w:color w:val="auto"/>
          <w:sz w:val="28"/>
          <w:szCs w:val="28"/>
          <w:lang w:eastAsia="zh-CN"/>
        </w:rPr>
      </w:pPr>
      <w:bookmarkStart w:id="261" w:name="_Toc740001715"/>
      <w:bookmarkStart w:id="262" w:name="_Toc442868323"/>
      <w:bookmarkStart w:id="263" w:name="_Toc1666758381"/>
      <w:bookmarkStart w:id="264" w:name="_Toc1892257381_WPSOffice_Level3"/>
      <w:r>
        <w:rPr>
          <w:rFonts w:hint="default" w:ascii="Times New Roman" w:hAnsi="Times New Roman" w:eastAsia="黑体" w:cs="Times New Roman"/>
          <w:b/>
          <w:bCs/>
          <w:color w:val="auto"/>
          <w:sz w:val="28"/>
          <w:szCs w:val="28"/>
          <w:lang w:eastAsia="zh-CN"/>
        </w:rPr>
        <w:br w:type="page"/>
      </w:r>
      <w:bookmarkEnd w:id="261"/>
      <w:bookmarkEnd w:id="262"/>
      <w:bookmarkEnd w:id="263"/>
      <w:bookmarkEnd w:id="264"/>
    </w:p>
    <w:p w14:paraId="1D4E5C35">
      <w:pPr>
        <w:pStyle w:val="3"/>
        <w:spacing w:before="0" w:after="0" w:line="360" w:lineRule="auto"/>
        <w:jc w:val="center"/>
        <w:rPr>
          <w:rFonts w:ascii="Times New Roman" w:hAnsi="Times New Roman" w:eastAsia="黑体"/>
          <w:color w:val="auto"/>
          <w:sz w:val="28"/>
          <w:szCs w:val="28"/>
          <w:lang w:eastAsia="zh-CN"/>
        </w:rPr>
      </w:pPr>
      <w:bookmarkStart w:id="265" w:name="_Toc1793820901_WPSOffice_Level3"/>
      <w:bookmarkStart w:id="266" w:name="_Toc262140077"/>
      <w:bookmarkStart w:id="267" w:name="_Toc1480748811"/>
      <w:bookmarkStart w:id="268" w:name="_Toc1876865389"/>
      <w:bookmarkStart w:id="269" w:name="_Toc730361247"/>
      <w:bookmarkStart w:id="270" w:name="_Toc1541909372_WPSOffice_Level3"/>
      <w:bookmarkStart w:id="271" w:name="_Toc1950934252"/>
      <w:bookmarkStart w:id="272" w:name="_Toc503852734"/>
      <w:bookmarkStart w:id="273" w:name="_Toc1274130635"/>
      <w:bookmarkStart w:id="274" w:name="_Toc831756679"/>
      <w:bookmarkStart w:id="275" w:name="_Toc416910222"/>
      <w:r>
        <w:rPr>
          <w:rFonts w:ascii="Times New Roman" w:hAnsi="Times New Roman" w:eastAsia="黑体"/>
          <w:color w:val="auto"/>
          <w:sz w:val="28"/>
          <w:szCs w:val="28"/>
          <w:lang w:val="en-US" w:eastAsia="zh-CN"/>
        </w:rPr>
        <w:t>一、</w:t>
      </w:r>
      <w:bookmarkEnd w:id="265"/>
      <w:bookmarkEnd w:id="266"/>
      <w:bookmarkEnd w:id="267"/>
      <w:bookmarkEnd w:id="268"/>
      <w:bookmarkEnd w:id="269"/>
      <w:bookmarkEnd w:id="270"/>
      <w:bookmarkEnd w:id="271"/>
      <w:bookmarkEnd w:id="272"/>
      <w:bookmarkEnd w:id="273"/>
      <w:bookmarkEnd w:id="274"/>
      <w:r>
        <w:rPr>
          <w:rFonts w:ascii="Times New Roman" w:hAnsi="Times New Roman" w:eastAsia="方正小标宋_GBK"/>
          <w:b w:val="0"/>
          <w:color w:val="auto"/>
          <w:sz w:val="30"/>
          <w:szCs w:val="30"/>
          <w:lang w:val="en-US" w:eastAsia="zh-CN"/>
        </w:rPr>
        <w:t>法人或者其他组织的营业执照等证明文件或自然人的身份证明</w:t>
      </w:r>
      <w:bookmarkEnd w:id="275"/>
    </w:p>
    <w:p w14:paraId="39BEC96F">
      <w:pPr>
        <w:rPr>
          <w:rFonts w:hint="default" w:ascii="Times New Roman" w:hAnsi="Times New Roman" w:cs="Times New Roman"/>
          <w:color w:val="auto"/>
          <w:lang w:eastAsia="zh-CN"/>
        </w:rPr>
      </w:pPr>
    </w:p>
    <w:p w14:paraId="411DCC1E">
      <w:pPr>
        <w:pStyle w:val="231"/>
        <w:tabs>
          <w:tab w:val="left" w:pos="5580"/>
        </w:tabs>
        <w:spacing w:line="360" w:lineRule="auto"/>
        <w:ind w:left="540" w:firstLine="480"/>
        <w:jc w:val="center"/>
        <w:rPr>
          <w:rFonts w:ascii="Times New Roman" w:hAnsi="Times New Roman" w:cs="Times New Roman"/>
          <w:b/>
          <w:bCs/>
          <w:color w:val="auto"/>
          <w:sz w:val="24"/>
          <w:szCs w:val="24"/>
        </w:rPr>
      </w:pPr>
    </w:p>
    <w:p w14:paraId="30C8DCCA">
      <w:pPr>
        <w:pStyle w:val="231"/>
        <w:tabs>
          <w:tab w:val="left" w:pos="5580"/>
        </w:tabs>
        <w:spacing w:line="360" w:lineRule="auto"/>
        <w:ind w:left="540" w:firstLine="480"/>
        <w:rPr>
          <w:rFonts w:ascii="Times New Roman" w:hAnsi="Times New Roman" w:cs="Times New Roman"/>
          <w:b/>
          <w:bCs/>
          <w:color w:val="auto"/>
          <w:sz w:val="24"/>
          <w:szCs w:val="24"/>
        </w:rPr>
      </w:pPr>
    </w:p>
    <w:p w14:paraId="76E9BAE7">
      <w:pPr>
        <w:pStyle w:val="231"/>
        <w:tabs>
          <w:tab w:val="left" w:pos="5580"/>
        </w:tabs>
        <w:spacing w:line="360" w:lineRule="auto"/>
        <w:ind w:left="540" w:firstLine="480"/>
        <w:rPr>
          <w:rFonts w:ascii="Times New Roman" w:hAnsi="Times New Roman" w:cs="Times New Roman"/>
          <w:b/>
          <w:bCs/>
          <w:color w:val="auto"/>
          <w:sz w:val="24"/>
          <w:szCs w:val="24"/>
        </w:rPr>
      </w:pPr>
    </w:p>
    <w:p w14:paraId="7DD7769C">
      <w:pPr>
        <w:pStyle w:val="231"/>
        <w:tabs>
          <w:tab w:val="left" w:pos="5580"/>
        </w:tabs>
        <w:spacing w:line="360" w:lineRule="auto"/>
        <w:rPr>
          <w:rFonts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lang w:val="zh-TW"/>
        </w:rPr>
        <w:t>说明：</w:t>
      </w:r>
      <w:r>
        <w:rPr>
          <w:rFonts w:hint="eastAsia" w:ascii="仿宋_GB2312" w:hAnsi="Times New Roman" w:eastAsia="仿宋_GB2312" w:cs="Times New Roman"/>
          <w:color w:val="auto"/>
          <w:sz w:val="28"/>
          <w:szCs w:val="28"/>
        </w:rPr>
        <w:t>1.</w:t>
      </w:r>
      <w:r>
        <w:rPr>
          <w:rFonts w:hint="eastAsia" w:ascii="仿宋_GB2312" w:hAnsi="Times New Roman" w:eastAsia="仿宋_GB2312" w:cs="Times New Roman"/>
          <w:color w:val="auto"/>
          <w:sz w:val="28"/>
          <w:szCs w:val="28"/>
          <w:lang w:val="zh-TW"/>
        </w:rPr>
        <w:t>提供有效的营业执照等证明文件原件或复印件扫描件。</w:t>
      </w:r>
    </w:p>
    <w:p w14:paraId="2893CF6B">
      <w:pPr>
        <w:pStyle w:val="231"/>
        <w:tabs>
          <w:tab w:val="left" w:pos="5580"/>
        </w:tabs>
        <w:spacing w:line="360" w:lineRule="auto"/>
        <w:rPr>
          <w:rFonts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 xml:space="preserve">      </w:t>
      </w:r>
      <w:bookmarkStart w:id="276" w:name="_Toc2081420463_WPSOffice_Level3"/>
      <w:bookmarkStart w:id="277" w:name="_Toc67715126_WPSOffice_Level3"/>
      <w:r>
        <w:rPr>
          <w:rFonts w:hint="eastAsia" w:ascii="仿宋_GB2312" w:hAnsi="Times New Roman" w:eastAsia="仿宋_GB2312" w:cs="Times New Roman"/>
          <w:color w:val="auto"/>
          <w:sz w:val="28"/>
          <w:szCs w:val="28"/>
        </w:rPr>
        <w:t>2.</w:t>
      </w:r>
      <w:r>
        <w:rPr>
          <w:rFonts w:hint="eastAsia" w:ascii="仿宋_GB2312" w:hAnsi="Times New Roman" w:eastAsia="仿宋_GB2312" w:cs="Times New Roman"/>
          <w:color w:val="auto"/>
          <w:sz w:val="28"/>
          <w:szCs w:val="28"/>
          <w:lang w:val="zh-TW"/>
        </w:rPr>
        <w:t>投标人为自然人的，应提供身份证明的原件或复印件扫描件。</w:t>
      </w:r>
      <w:bookmarkEnd w:id="276"/>
      <w:bookmarkEnd w:id="277"/>
    </w:p>
    <w:p w14:paraId="532BD778">
      <w:pPr>
        <w:pStyle w:val="231"/>
        <w:tabs>
          <w:tab w:val="left" w:pos="5580"/>
        </w:tabs>
        <w:spacing w:line="360" w:lineRule="auto"/>
        <w:rPr>
          <w:rFonts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 xml:space="preserve">      </w:t>
      </w:r>
      <w:bookmarkStart w:id="278" w:name="_Toc781251951_WPSOffice_Level3"/>
      <w:bookmarkStart w:id="279" w:name="_Toc1215272460_WPSOffice_Level3"/>
      <w:r>
        <w:rPr>
          <w:rFonts w:hint="eastAsia" w:ascii="仿宋_GB2312" w:hAnsi="Times New Roman" w:eastAsia="仿宋_GB2312" w:cs="Times New Roman"/>
          <w:color w:val="auto"/>
          <w:sz w:val="28"/>
          <w:szCs w:val="28"/>
        </w:rPr>
        <w:t>3.</w:t>
      </w:r>
      <w:r>
        <w:rPr>
          <w:rFonts w:hint="eastAsia" w:ascii="仿宋_GB2312" w:hAnsi="Times New Roman" w:eastAsia="仿宋_GB2312" w:cs="Times New Roman"/>
          <w:color w:val="auto"/>
          <w:sz w:val="28"/>
          <w:szCs w:val="28"/>
          <w:lang w:val="zh-TW"/>
        </w:rPr>
        <w:t>联合体投标应提供联合体各方满足以上要求的证明文件。</w:t>
      </w:r>
      <w:bookmarkEnd w:id="278"/>
      <w:bookmarkEnd w:id="279"/>
    </w:p>
    <w:p w14:paraId="5A1323EB">
      <w:pPr>
        <w:jc w:val="lef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br w:type="page"/>
      </w:r>
      <w:bookmarkStart w:id="280" w:name="_Toc1215314597"/>
      <w:bookmarkStart w:id="281" w:name="_Toc1557063548"/>
      <w:bookmarkStart w:id="282" w:name="_Toc868984799"/>
      <w:bookmarkStart w:id="283" w:name="_Toc456633459_WPSOffice_Level3"/>
      <w:bookmarkStart w:id="284" w:name="_Toc1319467764"/>
    </w:p>
    <w:p w14:paraId="0FFD9F61">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85" w:name="_Toc1494493586"/>
      <w:bookmarkStart w:id="286" w:name="_Toc574791252"/>
      <w:bookmarkStart w:id="287" w:name="_Toc1518204884"/>
      <w:bookmarkStart w:id="288" w:name="_Toc937091873"/>
      <w:bookmarkStart w:id="289" w:name="_Toc1587241248"/>
      <w:r>
        <w:rPr>
          <w:rFonts w:hint="default" w:ascii="Times New Roman" w:hAnsi="Times New Roman" w:eastAsia="方正小标宋_GBK" w:cs="Times New Roman"/>
          <w:bCs/>
          <w:color w:val="auto"/>
          <w:kern w:val="0"/>
          <w:sz w:val="30"/>
          <w:szCs w:val="30"/>
          <w:lang w:val="en-US" w:eastAsia="zh-CN"/>
        </w:rPr>
        <w:t>二、具有良好的商业信誉和健全的财务会计制度</w:t>
      </w:r>
      <w:bookmarkEnd w:id="280"/>
      <w:bookmarkEnd w:id="281"/>
      <w:bookmarkEnd w:id="282"/>
      <w:bookmarkEnd w:id="283"/>
      <w:bookmarkEnd w:id="284"/>
      <w:bookmarkEnd w:id="285"/>
      <w:bookmarkEnd w:id="286"/>
      <w:bookmarkEnd w:id="287"/>
      <w:bookmarkEnd w:id="288"/>
      <w:bookmarkEnd w:id="289"/>
    </w:p>
    <w:p w14:paraId="6CF2058F">
      <w:pPr>
        <w:spacing w:line="360" w:lineRule="auto"/>
        <w:jc w:val="center"/>
        <w:rPr>
          <w:rFonts w:hint="default" w:ascii="Times New Roman" w:hAnsi="Times New Roman" w:eastAsia="宋体" w:cs="Times New Roman"/>
          <w:color w:val="auto"/>
          <w:sz w:val="28"/>
          <w:szCs w:val="28"/>
          <w:lang w:eastAsia="zh-CN"/>
        </w:rPr>
      </w:pPr>
    </w:p>
    <w:p w14:paraId="0547EC33">
      <w:pPr>
        <w:rPr>
          <w:rFonts w:hint="default" w:ascii="Times New Roman" w:hAnsi="Times New Roman" w:cs="Times New Roman"/>
          <w:color w:val="auto"/>
          <w:lang w:eastAsia="zh-CN"/>
        </w:rPr>
      </w:pPr>
    </w:p>
    <w:p w14:paraId="7D0D3020">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4A2E570B">
      <w:pPr>
        <w:tabs>
          <w:tab w:val="left" w:pos="3060"/>
          <w:tab w:val="left" w:pos="5580"/>
        </w:tabs>
        <w:spacing w:line="360" w:lineRule="auto"/>
        <w:ind w:left="1080" w:hanging="540"/>
        <w:rPr>
          <w:rFonts w:hint="default" w:ascii="Times New Roman" w:hAnsi="Times New Roman" w:eastAsia="宋体" w:cs="Times New Roman"/>
          <w:b/>
          <w:bCs/>
          <w:color w:val="auto"/>
          <w:sz w:val="24"/>
          <w:szCs w:val="24"/>
          <w:lang w:val="en-US" w:eastAsia="zh-CN"/>
        </w:rPr>
      </w:pPr>
    </w:p>
    <w:p w14:paraId="41F096E5">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7F5C1E1D">
      <w:pPr>
        <w:tabs>
          <w:tab w:val="left" w:pos="5580"/>
        </w:tabs>
        <w:spacing w:line="360" w:lineRule="auto"/>
        <w:ind w:left="1080" w:hanging="54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说明：</w:t>
      </w:r>
    </w:p>
    <w:p w14:paraId="12EB968A">
      <w:pP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提供投标人2023年经审计的财务报告，要求注册会计师签字并加盖会计师印章；如截止到开标时间投标人成立时间不足要求时限的，须提供其开户银行出具的资信证明。</w:t>
      </w:r>
    </w:p>
    <w:p w14:paraId="577ACFE9">
      <w:pPr>
        <w:pStyle w:val="3"/>
        <w:jc w:val="center"/>
        <w:rPr>
          <w:rFonts w:ascii="Times New Roman" w:hAnsi="Times New Roman" w:eastAsia="方正小标宋_GBK"/>
          <w:b w:val="0"/>
          <w:color w:val="auto"/>
          <w:sz w:val="30"/>
          <w:szCs w:val="30"/>
          <w:lang w:val="en-US" w:eastAsia="zh-CN"/>
        </w:rPr>
      </w:pPr>
      <w:r>
        <w:rPr>
          <w:rFonts w:ascii="Times New Roman" w:hAnsi="Times New Roman"/>
          <w:color w:val="auto"/>
          <w:sz w:val="24"/>
          <w:szCs w:val="24"/>
          <w:lang w:eastAsia="zh-CN"/>
        </w:rPr>
        <w:br w:type="page"/>
      </w:r>
      <w:bookmarkStart w:id="290" w:name="_Toc1968479748"/>
      <w:bookmarkStart w:id="291" w:name="_Toc2082821673"/>
      <w:bookmarkStart w:id="292" w:name="_Toc1079740645"/>
      <w:bookmarkStart w:id="293" w:name="_Toc436443482"/>
      <w:bookmarkStart w:id="294" w:name="_Toc1125237527"/>
      <w:bookmarkStart w:id="295" w:name="_Toc942688044_WPSOffice_Level3"/>
      <w:bookmarkStart w:id="296" w:name="_Toc1735681444"/>
      <w:bookmarkStart w:id="297" w:name="_Toc108935773"/>
      <w:bookmarkStart w:id="298" w:name="_Toc1998858666"/>
      <w:bookmarkStart w:id="299" w:name="_Toc1656782056"/>
      <w:bookmarkStart w:id="300" w:name="_Toc1030212309"/>
      <w:r>
        <w:rPr>
          <w:rFonts w:ascii="Times New Roman" w:hAnsi="Times New Roman" w:eastAsia="方正小标宋_GBK"/>
          <w:b w:val="0"/>
          <w:color w:val="auto"/>
          <w:sz w:val="30"/>
          <w:szCs w:val="30"/>
          <w:lang w:val="en-US" w:eastAsia="zh-CN"/>
        </w:rPr>
        <w:t>三、依法</w:t>
      </w:r>
      <w:bookmarkEnd w:id="290"/>
      <w:r>
        <w:rPr>
          <w:rFonts w:ascii="Times New Roman" w:hAnsi="Times New Roman" w:eastAsia="方正小标宋_GBK"/>
          <w:b w:val="0"/>
          <w:color w:val="auto"/>
          <w:sz w:val="30"/>
          <w:szCs w:val="30"/>
          <w:lang w:val="en-US" w:eastAsia="zh-CN"/>
        </w:rPr>
        <w:t>缴纳税收和社会保障资金的良好记录</w:t>
      </w:r>
      <w:bookmarkEnd w:id="291"/>
      <w:bookmarkEnd w:id="292"/>
      <w:bookmarkEnd w:id="293"/>
      <w:bookmarkEnd w:id="294"/>
      <w:bookmarkEnd w:id="295"/>
      <w:bookmarkEnd w:id="296"/>
      <w:bookmarkEnd w:id="297"/>
      <w:bookmarkEnd w:id="298"/>
      <w:bookmarkEnd w:id="299"/>
      <w:bookmarkEnd w:id="300"/>
    </w:p>
    <w:p w14:paraId="3A548541">
      <w:pPr>
        <w:pStyle w:val="231"/>
        <w:tabs>
          <w:tab w:val="left" w:pos="5580"/>
        </w:tabs>
        <w:spacing w:line="360" w:lineRule="auto"/>
        <w:ind w:left="1080" w:hanging="540"/>
        <w:jc w:val="center"/>
        <w:rPr>
          <w:rFonts w:ascii="Times New Roman" w:hAnsi="Times New Roman" w:cs="Times New Roman"/>
          <w:b/>
          <w:bCs/>
          <w:color w:val="auto"/>
          <w:sz w:val="24"/>
          <w:szCs w:val="24"/>
        </w:rPr>
      </w:pPr>
    </w:p>
    <w:p w14:paraId="08188C56">
      <w:pPr>
        <w:pStyle w:val="231"/>
        <w:tabs>
          <w:tab w:val="left" w:pos="5580"/>
        </w:tabs>
        <w:spacing w:line="360" w:lineRule="auto"/>
        <w:ind w:left="840"/>
        <w:rPr>
          <w:rFonts w:ascii="Times New Roman" w:hAnsi="Times New Roman" w:cs="Times New Roman"/>
          <w:b/>
          <w:bCs/>
          <w:color w:val="auto"/>
          <w:sz w:val="24"/>
          <w:szCs w:val="24"/>
        </w:rPr>
      </w:pPr>
    </w:p>
    <w:p w14:paraId="565BA445">
      <w:pPr>
        <w:pStyle w:val="231"/>
        <w:tabs>
          <w:tab w:val="left" w:pos="5580"/>
        </w:tabs>
        <w:spacing w:line="360" w:lineRule="auto"/>
        <w:ind w:firstLine="560" w:firstLineChars="200"/>
        <w:rPr>
          <w:rFonts w:ascii="仿宋_GB2312" w:hAnsi="Times New Roman" w:eastAsia="仿宋_GB2312" w:cs="Times New Roman"/>
          <w:color w:val="auto"/>
          <w:sz w:val="28"/>
          <w:szCs w:val="28"/>
          <w:lang w:val="zh-TW"/>
        </w:rPr>
      </w:pPr>
      <w:r>
        <w:rPr>
          <w:rFonts w:hint="eastAsia" w:ascii="仿宋_GB2312" w:hAnsi="Times New Roman" w:eastAsia="仿宋_GB2312" w:cs="Times New Roman"/>
          <w:color w:val="auto"/>
          <w:sz w:val="28"/>
          <w:szCs w:val="28"/>
          <w:lang w:val="zh-TW"/>
        </w:rPr>
        <w:t>说明：</w:t>
      </w:r>
    </w:p>
    <w:p w14:paraId="30C031CE">
      <w:pPr>
        <w:pStyle w:val="231"/>
        <w:tabs>
          <w:tab w:val="left" w:pos="5580"/>
        </w:tabs>
        <w:spacing w:line="360" w:lineRule="auto"/>
        <w:ind w:firstLine="560" w:firstLineChars="200"/>
        <w:rPr>
          <w:rFonts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1.具有依法缴纳税收和社会保障资金的相关材料（提供自</w:t>
      </w:r>
      <w:r>
        <w:rPr>
          <w:rFonts w:ascii="仿宋_GB2312" w:hAnsi="Times New Roman" w:eastAsia="仿宋_GB2312" w:cs="Times New Roman"/>
          <w:color w:val="auto"/>
          <w:sz w:val="28"/>
          <w:szCs w:val="28"/>
          <w:lang w:val="en"/>
        </w:rPr>
        <w:t>2024年1月1日</w:t>
      </w:r>
      <w:r>
        <w:rPr>
          <w:rFonts w:hint="eastAsia" w:ascii="仿宋_GB2312" w:hAnsi="Times New Roman" w:eastAsia="仿宋_GB2312" w:cs="Times New Roman"/>
          <w:color w:val="auto"/>
          <w:sz w:val="28"/>
          <w:szCs w:val="28"/>
        </w:rPr>
        <w:t>以来至少一个月的纳税证明和社保缴纳证明，依法免税或不需要缴纳社会保障资金的，应提供相应文件证明其依法免税或不需要缴纳）。</w:t>
      </w:r>
    </w:p>
    <w:p w14:paraId="60E5B922">
      <w:pPr>
        <w:pStyle w:val="231"/>
        <w:tabs>
          <w:tab w:val="left" w:pos="5580"/>
        </w:tabs>
        <w:spacing w:line="360" w:lineRule="auto"/>
        <w:ind w:firstLine="560" w:firstLineChars="200"/>
        <w:rPr>
          <w:rFonts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2.如果是联合体投标，联合体各方均需提供相关材料。</w:t>
      </w:r>
    </w:p>
    <w:p w14:paraId="265EB44A">
      <w:pPr>
        <w:tabs>
          <w:tab w:val="left" w:pos="5580"/>
        </w:tabs>
        <w:spacing w:line="360" w:lineRule="auto"/>
        <w:rPr>
          <w:rFonts w:hint="default" w:ascii="Times New Roman" w:hAnsi="Times New Roman" w:eastAsia="仿宋_GB2312" w:cs="Times New Roman"/>
          <w:color w:val="auto"/>
          <w:sz w:val="28"/>
          <w:szCs w:val="28"/>
          <w:lang w:val="en-US" w:eastAsia="zh-CN"/>
        </w:rPr>
      </w:pPr>
    </w:p>
    <w:p w14:paraId="69EFA229">
      <w:pPr>
        <w:tabs>
          <w:tab w:val="left" w:pos="5580"/>
        </w:tabs>
        <w:spacing w:line="360" w:lineRule="auto"/>
        <w:rPr>
          <w:rFonts w:hint="default" w:ascii="Times New Roman" w:hAnsi="Times New Roman" w:eastAsia="仿宋_GB2312" w:cs="Times New Roman"/>
          <w:color w:val="auto"/>
          <w:sz w:val="28"/>
          <w:szCs w:val="28"/>
          <w:lang w:val="en-US" w:eastAsia="zh-CN"/>
        </w:rPr>
      </w:pPr>
    </w:p>
    <w:p w14:paraId="18B6B071">
      <w:pPr>
        <w:pStyle w:val="231"/>
        <w:tabs>
          <w:tab w:val="left" w:pos="5580"/>
        </w:tabs>
        <w:spacing w:line="360" w:lineRule="auto"/>
        <w:ind w:left="840"/>
        <w:rPr>
          <w:rFonts w:ascii="Times New Roman" w:hAnsi="Times New Roman" w:cs="Times New Roman"/>
          <w:color w:val="auto"/>
          <w:sz w:val="24"/>
          <w:szCs w:val="24"/>
        </w:rPr>
      </w:pPr>
    </w:p>
    <w:p w14:paraId="5304054F">
      <w:pPr>
        <w:pStyle w:val="3"/>
        <w:jc w:val="center"/>
        <w:rPr>
          <w:rFonts w:ascii="Times New Roman" w:hAnsi="Times New Roman" w:eastAsia="方正小标宋_GBK"/>
          <w:b w:val="0"/>
          <w:color w:val="auto"/>
          <w:sz w:val="30"/>
          <w:szCs w:val="30"/>
          <w:lang w:val="en-US" w:eastAsia="zh-CN"/>
        </w:rPr>
      </w:pPr>
      <w:r>
        <w:rPr>
          <w:rFonts w:ascii="Times New Roman" w:hAnsi="Times New Roman"/>
          <w:color w:val="auto"/>
          <w:sz w:val="24"/>
          <w:szCs w:val="24"/>
          <w:lang w:eastAsia="zh-CN"/>
        </w:rPr>
        <w:br w:type="page"/>
      </w:r>
      <w:bookmarkStart w:id="301" w:name="_Toc173874035"/>
      <w:bookmarkStart w:id="302" w:name="_Toc1695519598"/>
      <w:bookmarkStart w:id="303" w:name="_Toc1152943509"/>
      <w:bookmarkStart w:id="304" w:name="_Toc231434114"/>
      <w:bookmarkStart w:id="305" w:name="_Toc29306536"/>
      <w:bookmarkStart w:id="306" w:name="_Toc937672964"/>
      <w:bookmarkStart w:id="307" w:name="_Toc148345819_WPSOffice_Level3"/>
      <w:bookmarkStart w:id="308" w:name="_Toc883013156"/>
      <w:bookmarkStart w:id="309" w:name="_Toc634123008"/>
      <w:bookmarkStart w:id="310" w:name="_Toc1044148797"/>
      <w:bookmarkStart w:id="311" w:name="_Toc642483276"/>
      <w:r>
        <w:rPr>
          <w:rFonts w:ascii="Times New Roman" w:hAnsi="Times New Roman" w:eastAsia="方正小标宋_GBK"/>
          <w:b w:val="0"/>
          <w:color w:val="auto"/>
          <w:sz w:val="30"/>
          <w:szCs w:val="30"/>
          <w:lang w:val="en-US" w:eastAsia="zh-CN"/>
        </w:rPr>
        <w:t>四、具有履行合同所必需的设备和专业技术能力</w:t>
      </w:r>
      <w:bookmarkEnd w:id="301"/>
      <w:bookmarkEnd w:id="302"/>
      <w:bookmarkEnd w:id="303"/>
      <w:bookmarkEnd w:id="304"/>
      <w:bookmarkEnd w:id="305"/>
      <w:bookmarkEnd w:id="306"/>
      <w:bookmarkEnd w:id="307"/>
      <w:bookmarkEnd w:id="308"/>
      <w:bookmarkEnd w:id="309"/>
      <w:bookmarkEnd w:id="310"/>
      <w:bookmarkEnd w:id="311"/>
    </w:p>
    <w:p w14:paraId="571A95B5">
      <w:pPr>
        <w:spacing w:line="360" w:lineRule="auto"/>
        <w:rPr>
          <w:rFonts w:hint="default" w:ascii="仿宋_GB2312" w:hAnsi="Times New Roman" w:eastAsia="仿宋_GB2312" w:cs="Times New Roman"/>
          <w:color w:val="auto"/>
          <w:sz w:val="28"/>
          <w:szCs w:val="28"/>
          <w:lang w:val="en" w:eastAsia="zh-CN"/>
        </w:rPr>
      </w:pPr>
      <w:r>
        <w:rPr>
          <w:rFonts w:ascii="仿宋_GB2312" w:hAnsi="Times New Roman" w:eastAsia="仿宋_GB2312" w:cs="Times New Roman"/>
          <w:color w:val="auto"/>
          <w:sz w:val="28"/>
          <w:szCs w:val="28"/>
          <w:lang w:eastAsia="zh-CN"/>
        </w:rPr>
        <w:t>致：</w:t>
      </w:r>
      <w:r>
        <w:rPr>
          <w:rFonts w:ascii="仿宋_GB2312" w:hAnsi="Times New Roman" w:eastAsia="仿宋_GB2312" w:cs="Times New Roman"/>
          <w:color w:val="auto"/>
          <w:sz w:val="28"/>
          <w:szCs w:val="28"/>
          <w:u w:val="single"/>
          <w:lang w:val="en" w:eastAsia="zh-CN"/>
        </w:rPr>
        <w:t>新乡医学院第一附属医院</w:t>
      </w:r>
    </w:p>
    <w:p w14:paraId="1CCD1B4A">
      <w:pPr>
        <w:spacing w:line="360" w:lineRule="auto"/>
        <w:ind w:firstLine="60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我（单位/本人，以下统称我单位）自愿参加采购项目编号为</w:t>
      </w:r>
      <w:r>
        <w:rPr>
          <w:rFonts w:ascii="仿宋_GB2312" w:hAnsi="Times New Roman" w:eastAsia="仿宋_GB2312" w:cs="Times New Roman"/>
          <w:color w:val="auto"/>
          <w:sz w:val="28"/>
          <w:szCs w:val="28"/>
          <w:u w:val="single"/>
          <w:lang w:val="en" w:eastAsia="zh-CN"/>
        </w:rPr>
        <w:t>豫财招标采购-2024-1257</w:t>
      </w:r>
      <w:r>
        <w:rPr>
          <w:rFonts w:ascii="仿宋_GB2312" w:hAnsi="Times New Roman" w:eastAsia="仿宋_GB2312" w:cs="Times New Roman"/>
          <w:color w:val="auto"/>
          <w:sz w:val="28"/>
          <w:szCs w:val="28"/>
          <w:u w:val="single"/>
          <w:lang w:val="en-US" w:eastAsia="zh-CN"/>
        </w:rPr>
        <w:t xml:space="preserve"> </w:t>
      </w:r>
      <w:r>
        <w:rPr>
          <w:rFonts w:ascii="仿宋_GB2312" w:hAnsi="Times New Roman" w:eastAsia="仿宋_GB2312" w:cs="Times New Roman"/>
          <w:color w:val="auto"/>
          <w:sz w:val="28"/>
          <w:szCs w:val="28"/>
          <w:u w:val="single"/>
          <w:lang w:val="en" w:eastAsia="zh-CN"/>
        </w:rPr>
        <w:t>新乡医学院第一附属医院信息化基础设施及安全能力提升项目</w:t>
      </w:r>
      <w:r>
        <w:rPr>
          <w:rFonts w:ascii="仿宋_GB2312" w:hAnsi="Times New Roman" w:eastAsia="仿宋_GB2312" w:cs="Times New Roman"/>
          <w:color w:val="auto"/>
          <w:sz w:val="28"/>
          <w:szCs w:val="28"/>
          <w:lang w:eastAsia="zh-CN"/>
        </w:rPr>
        <w:t>的投标,并做出如下承诺：</w:t>
      </w:r>
    </w:p>
    <w:p w14:paraId="2B47A4D7">
      <w:pPr>
        <w:spacing w:line="360" w:lineRule="auto"/>
        <w:ind w:firstLine="560" w:firstLineChars="20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我方具有履行合同所必需的设备和专业技术能力。</w:t>
      </w:r>
    </w:p>
    <w:p w14:paraId="1A60602F">
      <w:pPr>
        <w:spacing w:line="360" w:lineRule="auto"/>
        <w:ind w:firstLine="560" w:firstLineChars="20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我方保证上述信息的真实和准确，并愿意承担因我方就此弄虚作假所引起的一切法律后果。</w:t>
      </w:r>
    </w:p>
    <w:p w14:paraId="3E231A11">
      <w:pPr>
        <w:spacing w:line="360" w:lineRule="auto"/>
        <w:ind w:firstLine="560" w:firstLineChars="20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特此声明！</w:t>
      </w:r>
    </w:p>
    <w:p w14:paraId="2CAAA4EA">
      <w:pPr>
        <w:tabs>
          <w:tab w:val="left" w:pos="6300"/>
        </w:tabs>
        <w:snapToGrid w:val="0"/>
        <w:spacing w:line="360" w:lineRule="auto"/>
        <w:ind w:firstLine="277" w:firstLineChars="99"/>
        <w:rPr>
          <w:rFonts w:hint="default" w:ascii="仿宋_GB2312" w:hAnsi="Times New Roman" w:eastAsia="仿宋_GB2312" w:cs="Times New Roman"/>
          <w:color w:val="auto"/>
          <w:sz w:val="28"/>
          <w:szCs w:val="28"/>
          <w:lang w:eastAsia="zh-CN"/>
        </w:rPr>
      </w:pPr>
    </w:p>
    <w:p w14:paraId="2A1D8B7A">
      <w:pPr>
        <w:spacing w:line="360" w:lineRule="exact"/>
        <w:ind w:firstLine="3640" w:firstLineChars="1300"/>
        <w:rPr>
          <w:rFonts w:hint="default" w:ascii="仿宋_GB2312" w:hAnsi="Times New Roman" w:eastAsia="仿宋_GB2312" w:cs="Times New Roman"/>
          <w:color w:val="auto"/>
          <w:sz w:val="28"/>
          <w:szCs w:val="28"/>
          <w:u w:val="single"/>
          <w:lang w:eastAsia="zh-CN"/>
        </w:rPr>
      </w:pPr>
      <w:r>
        <w:rPr>
          <w:rFonts w:ascii="仿宋_GB2312" w:hAnsi="Times New Roman" w:eastAsia="仿宋_GB2312" w:cs="Times New Roman"/>
          <w:color w:val="auto"/>
          <w:sz w:val="28"/>
          <w:szCs w:val="28"/>
          <w:lang w:eastAsia="zh-CN"/>
        </w:rPr>
        <w:t>投标人（企业电子签章）：</w:t>
      </w:r>
    </w:p>
    <w:p w14:paraId="6F0431C5">
      <w:pPr>
        <w:spacing w:line="360" w:lineRule="exact"/>
        <w:ind w:firstLine="420"/>
        <w:jc w:val="right"/>
        <w:rPr>
          <w:rFonts w:hint="default" w:ascii="仿宋_GB2312" w:hAnsi="Times New Roman" w:eastAsia="仿宋_GB2312" w:cs="Times New Roman"/>
          <w:color w:val="auto"/>
          <w:sz w:val="28"/>
          <w:szCs w:val="28"/>
          <w:lang w:eastAsia="zh-CN"/>
        </w:rPr>
      </w:pPr>
    </w:p>
    <w:p w14:paraId="72BFEC11">
      <w:pPr>
        <w:spacing w:line="360" w:lineRule="auto"/>
        <w:ind w:firstLine="556"/>
        <w:jc w:val="right"/>
        <w:rPr>
          <w:rFonts w:hint="default" w:ascii="仿宋_GB2312" w:hAnsi="Times New Roman" w:eastAsia="仿宋_GB2312" w:cs="Times New Roman"/>
          <w:color w:val="auto"/>
          <w:sz w:val="28"/>
          <w:szCs w:val="28"/>
          <w:lang w:eastAsia="zh-CN"/>
        </w:rPr>
      </w:pPr>
    </w:p>
    <w:p w14:paraId="2345C57C">
      <w:pPr>
        <w:tabs>
          <w:tab w:val="left" w:pos="6300"/>
        </w:tabs>
        <w:snapToGrid w:val="0"/>
        <w:spacing w:line="360" w:lineRule="auto"/>
        <w:ind w:firstLine="277" w:firstLineChars="99"/>
        <w:jc w:val="center"/>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 xml:space="preserve">              </w:t>
      </w:r>
      <w:r>
        <w:rPr>
          <w:rFonts w:ascii="仿宋_GB2312" w:hAnsi="Times New Roman" w:eastAsia="仿宋_GB2312" w:cs="Times New Roman"/>
          <w:color w:val="auto"/>
          <w:sz w:val="28"/>
          <w:szCs w:val="28"/>
          <w:lang w:eastAsia="zh-CN"/>
        </w:rPr>
        <w:t>日期：</w:t>
      </w:r>
      <w:r>
        <w:rPr>
          <w:rFonts w:ascii="仿宋_GB2312" w:hAnsi="Times New Roman" w:eastAsia="仿宋_GB2312" w:cs="Times New Roman"/>
          <w:color w:val="auto"/>
          <w:sz w:val="28"/>
          <w:szCs w:val="28"/>
          <w:u w:val="single"/>
          <w:lang w:val="en" w:eastAsia="zh-CN"/>
        </w:rPr>
        <w:t xml:space="preserve">      </w:t>
      </w:r>
      <w:r>
        <w:rPr>
          <w:rFonts w:ascii="仿宋_GB2312" w:hAnsi="Times New Roman" w:eastAsia="仿宋_GB2312" w:cs="Times New Roman"/>
          <w:color w:val="auto"/>
          <w:sz w:val="28"/>
          <w:szCs w:val="28"/>
          <w:lang w:eastAsia="zh-CN"/>
        </w:rPr>
        <w:t>年</w:t>
      </w:r>
      <w:r>
        <w:rPr>
          <w:rFonts w:ascii="仿宋_GB2312" w:hAnsi="Times New Roman" w:eastAsia="仿宋_GB2312" w:cs="Times New Roman"/>
          <w:color w:val="auto"/>
          <w:sz w:val="28"/>
          <w:szCs w:val="28"/>
          <w:u w:val="single"/>
          <w:lang w:val="en" w:eastAsia="zh-CN"/>
        </w:rPr>
        <w:t xml:space="preserve">   </w:t>
      </w:r>
      <w:r>
        <w:rPr>
          <w:rFonts w:ascii="仿宋_GB2312" w:hAnsi="Times New Roman" w:eastAsia="仿宋_GB2312" w:cs="Times New Roman"/>
          <w:color w:val="auto"/>
          <w:sz w:val="28"/>
          <w:szCs w:val="28"/>
          <w:lang w:eastAsia="zh-CN"/>
        </w:rPr>
        <w:t>月</w:t>
      </w:r>
      <w:r>
        <w:rPr>
          <w:rFonts w:ascii="仿宋_GB2312" w:hAnsi="Times New Roman" w:eastAsia="仿宋_GB2312" w:cs="Times New Roman"/>
          <w:color w:val="auto"/>
          <w:sz w:val="28"/>
          <w:szCs w:val="28"/>
          <w:u w:val="single"/>
          <w:lang w:val="en" w:eastAsia="zh-CN"/>
        </w:rPr>
        <w:t xml:space="preserve">   </w:t>
      </w:r>
      <w:r>
        <w:rPr>
          <w:rFonts w:ascii="仿宋_GB2312" w:hAnsi="Times New Roman" w:eastAsia="仿宋_GB2312" w:cs="Times New Roman"/>
          <w:color w:val="auto"/>
          <w:sz w:val="28"/>
          <w:szCs w:val="28"/>
          <w:lang w:eastAsia="zh-CN"/>
        </w:rPr>
        <w:t>日</w:t>
      </w:r>
    </w:p>
    <w:p w14:paraId="6939E481">
      <w:pPr>
        <w:jc w:val="left"/>
        <w:rPr>
          <w:rFonts w:hint="default" w:ascii="Times New Roman" w:hAnsi="Times New Roman" w:eastAsia="方正小标宋_GBK" w:cs="Times New Roman"/>
          <w:bCs/>
          <w:color w:val="auto"/>
          <w:kern w:val="0"/>
          <w:sz w:val="30"/>
          <w:szCs w:val="30"/>
          <w:lang w:val="en-US" w:eastAsia="zh-CN"/>
        </w:rPr>
      </w:pPr>
      <w:bookmarkStart w:id="312" w:name="_Toc2058865505"/>
      <w:bookmarkStart w:id="313" w:name="_Toc2139213640"/>
      <w:bookmarkStart w:id="314" w:name="_Toc1625950936"/>
      <w:bookmarkStart w:id="315" w:name="_Toc897167010_WPSOffice_Level3"/>
      <w:bookmarkStart w:id="316" w:name="_Toc1835514155"/>
      <w:bookmarkStart w:id="317" w:name="_Toc1989881438"/>
      <w:bookmarkStart w:id="318" w:name="_Toc288533216"/>
      <w:bookmarkStart w:id="319" w:name="_Toc568241575"/>
      <w:bookmarkStart w:id="320" w:name="_Toc1206650936"/>
      <w:bookmarkStart w:id="321" w:name="_Toc1554412966"/>
      <w:bookmarkStart w:id="322" w:name="_Toc242026376"/>
      <w:r>
        <w:rPr>
          <w:rFonts w:ascii="Times New Roman" w:hAnsi="Times New Roman" w:eastAsia="方正小标宋_GBK"/>
          <w:b/>
          <w:color w:val="auto"/>
          <w:sz w:val="30"/>
          <w:szCs w:val="30"/>
          <w:lang w:val="en-US" w:eastAsia="zh-CN"/>
        </w:rPr>
        <w:br w:type="page"/>
      </w:r>
    </w:p>
    <w:p w14:paraId="6F80B4A9">
      <w:pPr>
        <w:pStyle w:val="3"/>
        <w:jc w:val="center"/>
        <w:rPr>
          <w:rFonts w:ascii="Times New Roman" w:hAnsi="Times New Roman" w:eastAsia="方正小标宋_GBK"/>
          <w:b w:val="0"/>
          <w:color w:val="auto"/>
          <w:sz w:val="30"/>
          <w:szCs w:val="30"/>
          <w:lang w:val="en-US" w:eastAsia="zh-CN"/>
        </w:rPr>
      </w:pPr>
      <w:r>
        <w:rPr>
          <w:rFonts w:ascii="Times New Roman" w:hAnsi="Times New Roman" w:eastAsia="方正小标宋_GBK"/>
          <w:b w:val="0"/>
          <w:color w:val="auto"/>
          <w:sz w:val="30"/>
          <w:szCs w:val="30"/>
          <w:lang w:val="en-US" w:eastAsia="zh-CN"/>
        </w:rPr>
        <w:t>五、参加政府采购活动前3年内在经营活动中没有重大违法记录的</w:t>
      </w:r>
      <w:bookmarkEnd w:id="312"/>
      <w:bookmarkEnd w:id="313"/>
      <w:bookmarkEnd w:id="314"/>
      <w:bookmarkEnd w:id="315"/>
      <w:bookmarkEnd w:id="316"/>
      <w:bookmarkEnd w:id="317"/>
      <w:r>
        <w:rPr>
          <w:rFonts w:ascii="Times New Roman" w:hAnsi="Times New Roman" w:eastAsia="方正小标宋_GBK"/>
          <w:b w:val="0"/>
          <w:color w:val="auto"/>
          <w:sz w:val="30"/>
          <w:szCs w:val="30"/>
          <w:lang w:val="en-US" w:eastAsia="zh-CN"/>
        </w:rPr>
        <w:t>声明</w:t>
      </w:r>
      <w:bookmarkEnd w:id="318"/>
      <w:bookmarkEnd w:id="319"/>
      <w:bookmarkEnd w:id="320"/>
      <w:bookmarkEnd w:id="321"/>
      <w:bookmarkEnd w:id="322"/>
    </w:p>
    <w:p w14:paraId="6EEC6BA7">
      <w:pPr>
        <w:spacing w:line="360" w:lineRule="auto"/>
        <w:rPr>
          <w:rFonts w:hint="default" w:ascii="仿宋_GB2312" w:hAnsi="Times New Roman" w:eastAsia="仿宋_GB2312" w:cs="Times New Roman"/>
          <w:color w:val="auto"/>
          <w:sz w:val="28"/>
          <w:szCs w:val="28"/>
          <w:lang w:val="en" w:eastAsia="zh-CN"/>
        </w:rPr>
      </w:pPr>
      <w:bookmarkStart w:id="323" w:name="_Hlk103703179"/>
      <w:r>
        <w:rPr>
          <w:rFonts w:ascii="仿宋_GB2312" w:hAnsi="Times New Roman" w:eastAsia="仿宋_GB2312" w:cs="Times New Roman"/>
          <w:color w:val="auto"/>
          <w:sz w:val="28"/>
          <w:szCs w:val="28"/>
          <w:lang w:eastAsia="zh-CN"/>
        </w:rPr>
        <w:t>致：</w:t>
      </w:r>
      <w:r>
        <w:rPr>
          <w:rFonts w:ascii="仿宋_GB2312" w:hAnsi="Times New Roman" w:eastAsia="仿宋_GB2312" w:cs="Times New Roman"/>
          <w:color w:val="auto"/>
          <w:sz w:val="28"/>
          <w:szCs w:val="28"/>
          <w:u w:val="single"/>
          <w:lang w:val="en" w:eastAsia="zh-CN"/>
        </w:rPr>
        <w:t>新乡医学院第一附属医院</w:t>
      </w:r>
    </w:p>
    <w:p w14:paraId="73D021D3">
      <w:pPr>
        <w:spacing w:line="360" w:lineRule="auto"/>
        <w:ind w:firstLine="60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我（单位/本人，以下统称我单位）自愿参加采购项目编号为</w:t>
      </w:r>
      <w:r>
        <w:rPr>
          <w:rFonts w:ascii="仿宋_GB2312" w:hAnsi="Times New Roman" w:eastAsia="仿宋_GB2312" w:cs="Times New Roman"/>
          <w:color w:val="auto"/>
          <w:sz w:val="28"/>
          <w:szCs w:val="28"/>
          <w:u w:val="single"/>
          <w:lang w:val="en" w:eastAsia="zh-CN"/>
        </w:rPr>
        <w:t>豫财招标采购-2024-1257</w:t>
      </w:r>
      <w:r>
        <w:rPr>
          <w:rFonts w:hint="default" w:ascii="仿宋_GB2312" w:hAnsi="Times New Roman" w:eastAsia="仿宋_GB2312" w:cs="Times New Roman"/>
          <w:color w:val="auto"/>
          <w:sz w:val="28"/>
          <w:szCs w:val="28"/>
          <w:u w:val="single"/>
          <w:lang w:val="en" w:eastAsia="zh-CN"/>
        </w:rPr>
        <w:t xml:space="preserve"> </w:t>
      </w:r>
      <w:r>
        <w:rPr>
          <w:rFonts w:ascii="仿宋_GB2312" w:hAnsi="Times New Roman" w:eastAsia="仿宋_GB2312" w:cs="Times New Roman"/>
          <w:color w:val="auto"/>
          <w:sz w:val="28"/>
          <w:szCs w:val="28"/>
          <w:u w:val="single"/>
          <w:lang w:val="en" w:eastAsia="zh-CN"/>
        </w:rPr>
        <w:t>新乡医学院第一附属医院信息化基础设施及安全能力提升项目</w:t>
      </w:r>
      <w:r>
        <w:rPr>
          <w:rFonts w:ascii="仿宋_GB2312" w:hAnsi="Times New Roman" w:eastAsia="仿宋_GB2312" w:cs="Times New Roman"/>
          <w:color w:val="auto"/>
          <w:sz w:val="28"/>
          <w:szCs w:val="28"/>
          <w:lang w:eastAsia="zh-CN"/>
        </w:rPr>
        <w:t>的投标,并做出如下承诺：</w:t>
      </w:r>
    </w:p>
    <w:bookmarkEnd w:id="323"/>
    <w:p w14:paraId="7C9A5746">
      <w:pPr>
        <w:spacing w:line="360" w:lineRule="auto"/>
        <w:ind w:firstLine="560" w:firstLineChars="20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我公司信誉良好，参加政府采购活动前</w:t>
      </w:r>
      <w:r>
        <w:rPr>
          <w:rFonts w:ascii="仿宋_GB2312" w:hAnsi="Times New Roman" w:eastAsia="仿宋_GB2312" w:cs="Times New Roman"/>
          <w:color w:val="auto"/>
          <w:sz w:val="28"/>
          <w:szCs w:val="28"/>
          <w:lang w:val="en-US" w:eastAsia="zh-CN"/>
        </w:rPr>
        <w:t>3</w:t>
      </w:r>
      <w:r>
        <w:rPr>
          <w:rFonts w:ascii="仿宋_GB2312" w:hAnsi="Times New Roman" w:eastAsia="仿宋_GB2312" w:cs="Times New Roman"/>
          <w:color w:val="auto"/>
          <w:sz w:val="28"/>
          <w:szCs w:val="28"/>
          <w:lang w:eastAsia="zh-CN"/>
        </w:rPr>
        <w:t>年内，在经营活动中没有重大违法记录。在“信用</w:t>
      </w:r>
      <w:r>
        <w:rPr>
          <w:rFonts w:ascii="仿宋_GB2312" w:hAnsi="Times New Roman" w:eastAsia="仿宋_GB2312" w:cs="Times New Roman"/>
          <w:color w:val="auto"/>
          <w:sz w:val="28"/>
          <w:szCs w:val="28"/>
          <w:lang w:val="en-US" w:eastAsia="zh-CN"/>
        </w:rPr>
        <w:t>中国</w:t>
      </w:r>
      <w:r>
        <w:rPr>
          <w:rFonts w:ascii="仿宋_GB2312" w:hAnsi="Times New Roman" w:eastAsia="仿宋_GB2312" w:cs="Times New Roman"/>
          <w:color w:val="auto"/>
          <w:sz w:val="28"/>
          <w:szCs w:val="28"/>
          <w:lang w:eastAsia="zh-CN"/>
        </w:rPr>
        <w:t>”网站（www.creditchina.gov.cn）未被列入失信被执行人、重大税收违法案件当事人名单；在 “中国政府采购网” （www.ccgp.gov.cn）未被列入政府采购严重违法失信行为记录名单。</w:t>
      </w:r>
    </w:p>
    <w:p w14:paraId="39854185">
      <w:pPr>
        <w:spacing w:line="360" w:lineRule="auto"/>
        <w:ind w:firstLine="560" w:firstLineChars="20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我方保证上述信息的真实和准确，并愿意承担因我方就此弄虚作假所引起的一切法律后果。</w:t>
      </w:r>
    </w:p>
    <w:p w14:paraId="615A3E5F">
      <w:pPr>
        <w:spacing w:line="360" w:lineRule="auto"/>
        <w:ind w:firstLine="560" w:firstLineChars="20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特此声明！</w:t>
      </w:r>
    </w:p>
    <w:p w14:paraId="4BDFAEA5">
      <w:pPr>
        <w:spacing w:line="360" w:lineRule="exact"/>
        <w:ind w:firstLine="3640" w:firstLineChars="1300"/>
        <w:rPr>
          <w:rFonts w:hint="default" w:ascii="仿宋_GB2312" w:hAnsi="Times New Roman" w:eastAsia="仿宋_GB2312" w:cs="Times New Roman"/>
          <w:color w:val="auto"/>
          <w:sz w:val="28"/>
          <w:szCs w:val="28"/>
          <w:u w:val="single"/>
          <w:lang w:eastAsia="zh-CN"/>
        </w:rPr>
      </w:pPr>
      <w:r>
        <w:rPr>
          <w:rFonts w:ascii="仿宋_GB2312" w:hAnsi="Times New Roman" w:eastAsia="仿宋_GB2312" w:cs="Times New Roman"/>
          <w:color w:val="auto"/>
          <w:sz w:val="28"/>
          <w:szCs w:val="28"/>
          <w:lang w:eastAsia="zh-CN"/>
        </w:rPr>
        <w:t>投标人（企业电子签章）：</w:t>
      </w:r>
    </w:p>
    <w:p w14:paraId="271DCDA1">
      <w:pPr>
        <w:tabs>
          <w:tab w:val="left" w:pos="6300"/>
        </w:tabs>
        <w:snapToGrid w:val="0"/>
        <w:spacing w:line="360" w:lineRule="auto"/>
        <w:ind w:firstLine="277" w:firstLineChars="99"/>
        <w:jc w:val="center"/>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 xml:space="preserve">              </w:t>
      </w:r>
      <w:r>
        <w:rPr>
          <w:rFonts w:ascii="仿宋_GB2312" w:hAnsi="Times New Roman" w:eastAsia="仿宋_GB2312" w:cs="Times New Roman"/>
          <w:color w:val="auto"/>
          <w:sz w:val="28"/>
          <w:szCs w:val="28"/>
          <w:lang w:eastAsia="zh-CN"/>
        </w:rPr>
        <w:t>日期：</w:t>
      </w:r>
      <w:r>
        <w:rPr>
          <w:rFonts w:ascii="仿宋_GB2312" w:hAnsi="Times New Roman" w:eastAsia="仿宋_GB2312" w:cs="Times New Roman"/>
          <w:color w:val="auto"/>
          <w:sz w:val="28"/>
          <w:szCs w:val="28"/>
          <w:u w:val="single"/>
          <w:lang w:val="en" w:eastAsia="zh-CN"/>
        </w:rPr>
        <w:t xml:space="preserve">      </w:t>
      </w:r>
      <w:r>
        <w:rPr>
          <w:rFonts w:ascii="仿宋_GB2312" w:hAnsi="Times New Roman" w:eastAsia="仿宋_GB2312" w:cs="Times New Roman"/>
          <w:color w:val="auto"/>
          <w:sz w:val="28"/>
          <w:szCs w:val="28"/>
          <w:lang w:eastAsia="zh-CN"/>
        </w:rPr>
        <w:t>年</w:t>
      </w:r>
      <w:r>
        <w:rPr>
          <w:rFonts w:ascii="仿宋_GB2312" w:hAnsi="Times New Roman" w:eastAsia="仿宋_GB2312" w:cs="Times New Roman"/>
          <w:color w:val="auto"/>
          <w:sz w:val="28"/>
          <w:szCs w:val="28"/>
          <w:u w:val="single"/>
          <w:lang w:val="en" w:eastAsia="zh-CN"/>
        </w:rPr>
        <w:t xml:space="preserve">   </w:t>
      </w:r>
      <w:r>
        <w:rPr>
          <w:rFonts w:ascii="仿宋_GB2312" w:hAnsi="Times New Roman" w:eastAsia="仿宋_GB2312" w:cs="Times New Roman"/>
          <w:color w:val="auto"/>
          <w:sz w:val="28"/>
          <w:szCs w:val="28"/>
          <w:lang w:eastAsia="zh-CN"/>
        </w:rPr>
        <w:t>月</w:t>
      </w:r>
      <w:r>
        <w:rPr>
          <w:rFonts w:ascii="仿宋_GB2312" w:hAnsi="Times New Roman" w:eastAsia="仿宋_GB2312" w:cs="Times New Roman"/>
          <w:color w:val="auto"/>
          <w:sz w:val="28"/>
          <w:szCs w:val="28"/>
          <w:u w:val="single"/>
          <w:lang w:val="en" w:eastAsia="zh-CN"/>
        </w:rPr>
        <w:t xml:space="preserve">   </w:t>
      </w:r>
      <w:r>
        <w:rPr>
          <w:rFonts w:ascii="仿宋_GB2312" w:hAnsi="Times New Roman" w:eastAsia="仿宋_GB2312" w:cs="Times New Roman"/>
          <w:color w:val="auto"/>
          <w:sz w:val="28"/>
          <w:szCs w:val="28"/>
          <w:lang w:eastAsia="zh-CN"/>
        </w:rPr>
        <w:t>日</w:t>
      </w:r>
    </w:p>
    <w:p w14:paraId="30392D77">
      <w:pPr>
        <w:pStyle w:val="231"/>
        <w:tabs>
          <w:tab w:val="left" w:pos="5580"/>
        </w:tabs>
        <w:spacing w:line="240" w:lineRule="auto"/>
        <w:rPr>
          <w:rFonts w:ascii="仿宋_GB2312" w:hAnsi="Times New Roman" w:eastAsia="仿宋_GB2312" w:cs="Times New Roman"/>
          <w:color w:val="auto"/>
          <w:sz w:val="28"/>
          <w:szCs w:val="28"/>
          <w:lang w:val="zh-TW"/>
        </w:rPr>
      </w:pPr>
      <w:bookmarkStart w:id="324" w:name="_Toc474620139"/>
      <w:bookmarkStart w:id="325" w:name="_Toc2073666225_WPSOffice_Level3"/>
      <w:bookmarkStart w:id="326" w:name="_Toc1267967234"/>
      <w:bookmarkStart w:id="327" w:name="_Toc250382630"/>
      <w:bookmarkStart w:id="328" w:name="_Toc996756161"/>
      <w:bookmarkStart w:id="329" w:name="_Toc1938095027"/>
      <w:bookmarkStart w:id="330" w:name="_Toc1462517689"/>
      <w:bookmarkStart w:id="331" w:name="_Toc1237822054"/>
      <w:bookmarkStart w:id="332" w:name="_Toc1614236527"/>
      <w:bookmarkStart w:id="333" w:name="_Toc1412570441"/>
      <w:r>
        <w:rPr>
          <w:rFonts w:hint="eastAsia" w:ascii="仿宋_GB2312" w:hAnsi="Times New Roman" w:eastAsia="仿宋_GB2312" w:cs="Times New Roman"/>
          <w:color w:val="auto"/>
          <w:sz w:val="28"/>
          <w:szCs w:val="28"/>
          <w:lang w:val="zh-TW"/>
        </w:rPr>
        <w:t>说明：</w:t>
      </w:r>
    </w:p>
    <w:p w14:paraId="5B4A991C">
      <w:pPr>
        <w:pStyle w:val="231"/>
        <w:tabs>
          <w:tab w:val="left" w:pos="5580"/>
        </w:tabs>
        <w:spacing w:line="240" w:lineRule="auto"/>
        <w:rPr>
          <w:rFonts w:ascii="仿宋_GB2312" w:hAnsi="Times New Roman" w:eastAsia="仿宋_GB2312" w:cs="Times New Roman"/>
          <w:color w:val="auto"/>
          <w:sz w:val="28"/>
          <w:szCs w:val="28"/>
          <w:lang w:val="zh-TW"/>
        </w:rPr>
      </w:pPr>
      <w:r>
        <w:rPr>
          <w:rFonts w:hint="eastAsia" w:ascii="仿宋_GB2312" w:hAnsi="Times New Roman" w:eastAsia="仿宋_GB2312" w:cs="Times New Roman"/>
          <w:color w:val="auto"/>
          <w:sz w:val="28"/>
          <w:szCs w:val="28"/>
          <w:lang w:val="zh-TW"/>
        </w:rPr>
        <w:t>1.投标人应按照相关法规规定如实做出说明。</w:t>
      </w:r>
    </w:p>
    <w:p w14:paraId="3193FD64">
      <w:pPr>
        <w:pStyle w:val="231"/>
        <w:tabs>
          <w:tab w:val="left" w:pos="5580"/>
        </w:tabs>
        <w:spacing w:line="240" w:lineRule="auto"/>
        <w:rPr>
          <w:rFonts w:ascii="仿宋_GB2312" w:hAnsi="Times New Roman" w:eastAsia="仿宋_GB2312" w:cs="Times New Roman"/>
          <w:color w:val="auto"/>
          <w:sz w:val="28"/>
          <w:szCs w:val="28"/>
          <w:lang w:val="zh-TW"/>
        </w:rPr>
      </w:pPr>
      <w:r>
        <w:rPr>
          <w:rFonts w:hint="eastAsia" w:ascii="仿宋_GB2312" w:hAnsi="Times New Roman" w:eastAsia="仿宋_GB2312" w:cs="Times New Roman"/>
          <w:color w:val="auto"/>
          <w:sz w:val="28"/>
          <w:szCs w:val="28"/>
          <w:lang w:val="zh-TW"/>
        </w:rPr>
        <w:t>2．按照招标文件的规定加盖企业电子签章（自然人投标的无需盖章，需要签字）。</w:t>
      </w:r>
    </w:p>
    <w:p w14:paraId="60E05C7B">
      <w:pPr>
        <w:pStyle w:val="231"/>
        <w:tabs>
          <w:tab w:val="left" w:pos="5580"/>
        </w:tabs>
        <w:spacing w:line="240" w:lineRule="auto"/>
        <w:rPr>
          <w:rFonts w:ascii="仿宋_GB2312" w:hAnsi="Times New Roman" w:eastAsia="仿宋_GB2312" w:cs="Times New Roman"/>
          <w:color w:val="auto"/>
          <w:sz w:val="28"/>
          <w:szCs w:val="28"/>
          <w:lang w:val="zh-TW"/>
        </w:rPr>
      </w:pPr>
      <w:r>
        <w:rPr>
          <w:rFonts w:hint="eastAsia" w:ascii="仿宋_GB2312" w:hAnsi="Times New Roman" w:eastAsia="仿宋_GB2312" w:cs="Times New Roman"/>
          <w:color w:val="auto"/>
          <w:sz w:val="28"/>
          <w:szCs w:val="28"/>
          <w:lang w:val="zh-TW"/>
        </w:rPr>
        <w:t>3.如果是联合体投标，联合体各方均需提供上述证明。</w:t>
      </w:r>
    </w:p>
    <w:p w14:paraId="74A24EB4">
      <w:pPr>
        <w:rPr>
          <w:rFonts w:hint="default" w:ascii="Times New Roman" w:hAnsi="Times New Roman" w:eastAsia="方正小标宋_GBK" w:cs="Times New Roman"/>
          <w:bCs/>
          <w:color w:val="auto"/>
          <w:kern w:val="0"/>
          <w:sz w:val="30"/>
          <w:szCs w:val="30"/>
          <w:lang w:val="en-US" w:eastAsia="zh-CN"/>
        </w:rPr>
      </w:pPr>
      <w:bookmarkStart w:id="334" w:name="_Toc12832414"/>
      <w:r>
        <w:rPr>
          <w:rFonts w:hint="default" w:ascii="Times New Roman" w:hAnsi="Times New Roman" w:eastAsia="方正小标宋_GBK" w:cs="Times New Roman"/>
          <w:bCs/>
          <w:color w:val="auto"/>
          <w:kern w:val="0"/>
          <w:sz w:val="30"/>
          <w:szCs w:val="30"/>
          <w:lang w:val="en-US" w:eastAsia="zh-CN"/>
        </w:rPr>
        <w:br w:type="page"/>
      </w:r>
    </w:p>
    <w:p w14:paraId="1241E5EF">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eastAsia="方正小标宋_GBK" w:cs="Times New Roman"/>
          <w:bCs/>
          <w:color w:val="auto"/>
          <w:kern w:val="0"/>
          <w:sz w:val="30"/>
          <w:szCs w:val="30"/>
          <w:lang w:val="en-US" w:eastAsia="zh-CN"/>
        </w:rPr>
        <w:t>六、其他资格证明文件</w:t>
      </w:r>
      <w:bookmarkEnd w:id="324"/>
      <w:bookmarkEnd w:id="325"/>
      <w:bookmarkEnd w:id="326"/>
      <w:bookmarkEnd w:id="327"/>
      <w:bookmarkEnd w:id="328"/>
      <w:bookmarkEnd w:id="329"/>
      <w:bookmarkEnd w:id="330"/>
      <w:bookmarkEnd w:id="331"/>
      <w:bookmarkEnd w:id="332"/>
      <w:bookmarkEnd w:id="333"/>
      <w:bookmarkEnd w:id="334"/>
    </w:p>
    <w:p w14:paraId="1C401E5A">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53F7DC31">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43E8D70D">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7565A220">
      <w:pPr>
        <w:pStyle w:val="231"/>
        <w:tabs>
          <w:tab w:val="left" w:pos="5580"/>
        </w:tabs>
        <w:spacing w:line="360" w:lineRule="auto"/>
        <w:rPr>
          <w:rFonts w:ascii="仿宋_GB2312" w:hAnsi="Times New Roman" w:eastAsia="仿宋_GB2312" w:cs="Times New Roman"/>
          <w:color w:val="auto"/>
          <w:sz w:val="28"/>
          <w:szCs w:val="28"/>
          <w:lang w:val="zh-TW"/>
        </w:rPr>
      </w:pPr>
      <w:r>
        <w:rPr>
          <w:rFonts w:hint="eastAsia" w:ascii="仿宋_GB2312" w:hAnsi="Times New Roman" w:eastAsia="仿宋_GB2312" w:cs="Times New Roman"/>
          <w:color w:val="auto"/>
          <w:sz w:val="28"/>
          <w:szCs w:val="28"/>
          <w:lang w:val="zh-TW"/>
        </w:rPr>
        <w:t>说明：</w:t>
      </w:r>
    </w:p>
    <w:p w14:paraId="56215314">
      <w:pPr>
        <w:pStyle w:val="231"/>
        <w:tabs>
          <w:tab w:val="left" w:pos="5580"/>
        </w:tabs>
        <w:spacing w:line="360" w:lineRule="auto"/>
        <w:rPr>
          <w:rFonts w:ascii="仿宋_GB2312" w:hAnsi="Times New Roman" w:eastAsia="仿宋_GB2312" w:cs="Times New Roman"/>
          <w:color w:val="auto"/>
          <w:sz w:val="28"/>
          <w:szCs w:val="28"/>
          <w:lang w:val="zh-TW"/>
        </w:rPr>
      </w:pPr>
      <w:r>
        <w:rPr>
          <w:rFonts w:hint="eastAsia" w:ascii="仿宋_GB2312" w:hAnsi="Times New Roman" w:eastAsia="仿宋_GB2312" w:cs="Times New Roman"/>
          <w:color w:val="auto"/>
          <w:sz w:val="28"/>
          <w:szCs w:val="28"/>
        </w:rPr>
        <w:t xml:space="preserve">      </w:t>
      </w:r>
      <w:r>
        <w:rPr>
          <w:rFonts w:hint="eastAsia" w:ascii="仿宋_GB2312" w:hAnsi="Times New Roman" w:eastAsia="仿宋_GB2312" w:cs="Times New Roman"/>
          <w:color w:val="auto"/>
          <w:sz w:val="28"/>
          <w:szCs w:val="28"/>
          <w:lang w:val="zh-TW"/>
        </w:rPr>
        <w:t>1.应提供要求的其他资格证明文件。</w:t>
      </w:r>
    </w:p>
    <w:p w14:paraId="561B7AB5">
      <w:pPr>
        <w:pStyle w:val="231"/>
        <w:tabs>
          <w:tab w:val="left" w:pos="5580"/>
        </w:tabs>
        <w:spacing w:line="360" w:lineRule="auto"/>
        <w:ind w:firstLine="840" w:firstLineChars="300"/>
        <w:rPr>
          <w:rFonts w:ascii="仿宋_GB2312" w:hAnsi="Times New Roman" w:eastAsia="仿宋_GB2312" w:cs="Times New Roman"/>
          <w:color w:val="auto"/>
          <w:sz w:val="28"/>
          <w:szCs w:val="28"/>
          <w:lang w:val="zh-TW"/>
        </w:rPr>
      </w:pPr>
      <w:r>
        <w:rPr>
          <w:rFonts w:hint="eastAsia" w:ascii="仿宋_GB2312" w:hAnsi="Times New Roman" w:eastAsia="仿宋_GB2312" w:cs="Times New Roman"/>
          <w:color w:val="auto"/>
          <w:sz w:val="28"/>
          <w:szCs w:val="28"/>
          <w:lang w:val="zh-TW"/>
        </w:rPr>
        <w:t>2.原件或复印件扫描件上应加盖企业电子签章（自然人投标的无需盖章，需要签字）。</w:t>
      </w:r>
    </w:p>
    <w:p w14:paraId="4F73EC1E">
      <w:pPr>
        <w:pStyle w:val="231"/>
        <w:tabs>
          <w:tab w:val="left" w:pos="5580"/>
        </w:tabs>
        <w:spacing w:line="360" w:lineRule="auto"/>
        <w:ind w:firstLine="840" w:firstLineChars="300"/>
        <w:rPr>
          <w:rFonts w:ascii="仿宋_GB2312" w:hAnsi="Times New Roman" w:eastAsia="仿宋_GB2312" w:cs="Times New Roman"/>
          <w:color w:val="auto"/>
          <w:sz w:val="28"/>
          <w:szCs w:val="28"/>
          <w:lang w:val="zh-TW"/>
        </w:rPr>
      </w:pPr>
      <w:r>
        <w:rPr>
          <w:rFonts w:hint="eastAsia" w:ascii="仿宋_GB2312" w:hAnsi="Times New Roman" w:eastAsia="仿宋_GB2312" w:cs="Times New Roman"/>
          <w:color w:val="auto"/>
          <w:sz w:val="28"/>
          <w:szCs w:val="28"/>
          <w:lang w:val="zh-TW"/>
        </w:rPr>
        <w:t>3.如果是联合体投标，联合体各方需提供的满足招标文件要求的其他资格证明文件。</w:t>
      </w:r>
    </w:p>
    <w:p w14:paraId="169CB5CF">
      <w:pPr>
        <w:pStyle w:val="2"/>
        <w:jc w:val="center"/>
        <w:rPr>
          <w:rFonts w:ascii="Times New Roman" w:hAnsi="Times New Roman" w:eastAsia="宋体"/>
          <w:color w:val="auto"/>
          <w:sz w:val="36"/>
          <w:szCs w:val="36"/>
          <w:lang w:eastAsia="zh-CN"/>
        </w:rPr>
      </w:pPr>
      <w:r>
        <w:rPr>
          <w:rFonts w:ascii="Times New Roman" w:hAnsi="Times New Roman"/>
          <w:color w:val="auto"/>
          <w:sz w:val="24"/>
          <w:szCs w:val="24"/>
          <w:lang w:val="en-US" w:eastAsia="zh-CN"/>
        </w:rPr>
        <w:br w:type="page"/>
      </w:r>
      <w:bookmarkStart w:id="335" w:name="_Toc973283021"/>
      <w:bookmarkStart w:id="336" w:name="_Toc744081619"/>
      <w:bookmarkStart w:id="337" w:name="_Toc1368632420_WPSOffice_Level2"/>
      <w:bookmarkStart w:id="338" w:name="_Toc1264393349_WPSOffice_Level2"/>
      <w:bookmarkStart w:id="339" w:name="_Toc1093923690_WPSOffice_Level2"/>
      <w:bookmarkStart w:id="340" w:name="_Toc1580344845_WPSOffice_Level2"/>
      <w:bookmarkStart w:id="341" w:name="_Toc136706314"/>
      <w:bookmarkStart w:id="342" w:name="_Toc6422905"/>
      <w:bookmarkStart w:id="343" w:name="_Toc897589225"/>
      <w:bookmarkStart w:id="344" w:name="_Toc1154266934_WPSOffice_Level1"/>
      <w:bookmarkStart w:id="345" w:name="_Toc15119"/>
      <w:bookmarkStart w:id="346" w:name="_Toc37981781"/>
      <w:bookmarkStart w:id="347" w:name="_Toc1017563642"/>
      <w:bookmarkStart w:id="348" w:name="_Toc1311641928"/>
      <w:bookmarkStart w:id="349" w:name="_Toc1378165390"/>
      <w:bookmarkStart w:id="350" w:name="_Toc1731438942"/>
      <w:r>
        <w:rPr>
          <w:rFonts w:ascii="Times New Roman" w:hAnsi="Times New Roman" w:eastAsia="宋体"/>
          <w:color w:val="auto"/>
          <w:sz w:val="36"/>
          <w:szCs w:val="36"/>
          <w:lang w:eastAsia="zh-CN"/>
        </w:rPr>
        <w:t>第五章 投标文件</w:t>
      </w:r>
      <w:bookmarkEnd w:id="335"/>
      <w:bookmarkEnd w:id="336"/>
      <w:bookmarkEnd w:id="337"/>
      <w:bookmarkEnd w:id="338"/>
      <w:bookmarkEnd w:id="339"/>
      <w:bookmarkEnd w:id="340"/>
      <w:bookmarkEnd w:id="341"/>
      <w:bookmarkEnd w:id="342"/>
      <w:bookmarkEnd w:id="343"/>
      <w:r>
        <w:rPr>
          <w:rFonts w:ascii="Times New Roman" w:hAnsi="Times New Roman" w:eastAsia="宋体"/>
          <w:color w:val="auto"/>
          <w:sz w:val="36"/>
          <w:szCs w:val="36"/>
          <w:lang w:eastAsia="zh-CN"/>
        </w:rPr>
        <w:t>格式</w:t>
      </w:r>
      <w:bookmarkEnd w:id="344"/>
      <w:bookmarkEnd w:id="345"/>
      <w:bookmarkEnd w:id="346"/>
      <w:bookmarkEnd w:id="347"/>
      <w:bookmarkEnd w:id="348"/>
      <w:bookmarkEnd w:id="349"/>
      <w:bookmarkEnd w:id="350"/>
    </w:p>
    <w:p w14:paraId="5530F96F">
      <w:pPr>
        <w:tabs>
          <w:tab w:val="left" w:pos="1950"/>
        </w:tabs>
        <w:jc w:val="center"/>
        <w:rPr>
          <w:rFonts w:hint="default" w:ascii="Times New Roman" w:hAnsi="Times New Roman" w:eastAsia="宋体" w:cs="Times New Roman"/>
          <w:b/>
          <w:bCs/>
          <w:color w:val="auto"/>
          <w:sz w:val="56"/>
          <w:szCs w:val="56"/>
          <w:lang w:val="en" w:eastAsia="zh-CN"/>
        </w:rPr>
      </w:pPr>
      <w:r>
        <w:rPr>
          <w:rFonts w:ascii="Times New Roman" w:hAnsi="Times New Roman" w:eastAsia="宋体" w:cs="Times New Roman"/>
          <w:b/>
          <w:bCs/>
          <w:color w:val="auto"/>
          <w:sz w:val="56"/>
          <w:szCs w:val="56"/>
          <w:lang w:val="en" w:eastAsia="zh-CN"/>
        </w:rPr>
        <w:t>新乡医学院第一附属医院信息化基础设施及安全能力提升项目</w:t>
      </w:r>
    </w:p>
    <w:p w14:paraId="652435FC">
      <w:pPr>
        <w:tabs>
          <w:tab w:val="left" w:pos="1950"/>
        </w:tabs>
        <w:jc w:val="center"/>
        <w:rPr>
          <w:rFonts w:hint="default" w:ascii="Times New Roman" w:hAnsi="Times New Roman" w:eastAsia="宋体" w:cs="Times New Roman"/>
          <w:b/>
          <w:bCs/>
          <w:color w:val="auto"/>
          <w:lang w:val="en-US" w:eastAsia="zh-CN"/>
        </w:rPr>
      </w:pPr>
    </w:p>
    <w:p w14:paraId="11DC802F">
      <w:pPr>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投标文件</w:t>
      </w:r>
    </w:p>
    <w:p w14:paraId="663550B8">
      <w:pPr>
        <w:widowControl w:val="0"/>
        <w:tabs>
          <w:tab w:val="left" w:pos="1950"/>
        </w:tabs>
        <w:jc w:val="center"/>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val="en" w:eastAsia="zh-CN"/>
        </w:rPr>
        <w:t>豫财招标采购-2024-1257</w:t>
      </w:r>
    </w:p>
    <w:p w14:paraId="451ECD98">
      <w:pPr>
        <w:widowControl w:val="0"/>
        <w:tabs>
          <w:tab w:val="left" w:pos="1950"/>
        </w:tabs>
        <w:jc w:val="center"/>
        <w:rPr>
          <w:rFonts w:hint="default" w:ascii="Times New Roman" w:hAnsi="Times New Roman" w:eastAsia="宋体" w:cs="Times New Roman"/>
          <w:b/>
          <w:color w:val="auto"/>
          <w:spacing w:val="20"/>
          <w:w w:val="150"/>
          <w:sz w:val="36"/>
          <w:szCs w:val="36"/>
          <w:lang w:val="en" w:eastAsia="zh-CN"/>
        </w:rPr>
      </w:pPr>
    </w:p>
    <w:p w14:paraId="33A3BF6A">
      <w:pPr>
        <w:widowControl w:val="0"/>
        <w:tabs>
          <w:tab w:val="left" w:pos="1950"/>
        </w:tabs>
        <w:jc w:val="center"/>
        <w:rPr>
          <w:rFonts w:hint="default" w:ascii="Times New Roman" w:hAnsi="Times New Roman" w:eastAsia="宋体" w:cs="Times New Roman"/>
          <w:b/>
          <w:color w:val="auto"/>
          <w:spacing w:val="20"/>
          <w:w w:val="150"/>
          <w:sz w:val="36"/>
          <w:szCs w:val="52"/>
          <w:lang w:val="en" w:eastAsia="zh-CN"/>
        </w:rPr>
      </w:pPr>
    </w:p>
    <w:p w14:paraId="12E3BC21">
      <w:pPr>
        <w:pStyle w:val="17"/>
        <w:rPr>
          <w:lang w:val="en"/>
        </w:rPr>
      </w:pPr>
    </w:p>
    <w:p w14:paraId="4EB3E39D">
      <w:pPr>
        <w:widowControl w:val="0"/>
        <w:autoSpaceDE w:val="0"/>
        <w:autoSpaceDN w:val="0"/>
        <w:adjustRightInd w:val="0"/>
        <w:ind w:firstLine="1084" w:firstLineChars="30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789FAD02">
      <w:pPr>
        <w:pStyle w:val="158"/>
        <w:ind w:firstLine="0"/>
        <w:rPr>
          <w:rFonts w:hint="default" w:ascii="Times New Roman" w:hAnsi="Times New Roman" w:eastAsia="宋体" w:cs="Times New Roman"/>
          <w:color w:val="auto"/>
          <w:lang w:eastAsia="zh-CN"/>
        </w:rPr>
      </w:pPr>
    </w:p>
    <w:p w14:paraId="082E7BE4">
      <w:pPr>
        <w:pStyle w:val="231"/>
        <w:spacing w:line="360" w:lineRule="auto"/>
        <w:jc w:val="center"/>
        <w:rPr>
          <w:rFonts w:ascii="Times New Roman" w:hAnsi="Times New Roman" w:eastAsia="仿宋_GB2312" w:cs="Times New Roman"/>
          <w:b/>
          <w:bCs/>
          <w:color w:val="auto"/>
          <w:sz w:val="44"/>
          <w:szCs w:val="44"/>
          <w:lang w:val="en"/>
        </w:rPr>
      </w:pPr>
      <w:r>
        <w:rPr>
          <w:rFonts w:ascii="Times New Roman" w:hAnsi="Times New Roman" w:cs="Times New Roman"/>
          <w:color w:val="auto"/>
          <w:sz w:val="28"/>
          <w:szCs w:val="28"/>
        </w:rPr>
        <w:br w:type="page"/>
      </w:r>
      <w:r>
        <w:rPr>
          <w:rFonts w:ascii="Times New Roman" w:hAnsi="Times New Roman" w:eastAsia="仿宋_GB2312" w:cs="Times New Roman"/>
          <w:b/>
          <w:bCs/>
          <w:color w:val="auto"/>
          <w:sz w:val="44"/>
          <w:szCs w:val="44"/>
          <w:lang w:val="en"/>
        </w:rPr>
        <w:t>目  录</w:t>
      </w:r>
    </w:p>
    <w:p w14:paraId="22A6DFC5">
      <w:pPr>
        <w:pStyle w:val="231"/>
        <w:spacing w:line="360" w:lineRule="auto"/>
        <w:rPr>
          <w:rFonts w:ascii="Times New Roman" w:hAnsi="Times New Roman" w:eastAsia="仿宋_GB2312" w:cs="Times New Roman"/>
          <w:color w:val="auto"/>
          <w:sz w:val="28"/>
          <w:szCs w:val="28"/>
          <w:lang w:val="zh-TW"/>
        </w:rPr>
      </w:pPr>
    </w:p>
    <w:p w14:paraId="7FBD247B">
      <w:pPr>
        <w:pStyle w:val="231"/>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一、投标函</w:t>
      </w:r>
    </w:p>
    <w:p w14:paraId="751FC533">
      <w:pPr>
        <w:pStyle w:val="231"/>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二、法定代表人身份证明书</w:t>
      </w:r>
    </w:p>
    <w:p w14:paraId="734E00AF">
      <w:pPr>
        <w:pStyle w:val="231"/>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三、投标人关联单位的说明</w:t>
      </w:r>
    </w:p>
    <w:p w14:paraId="2BD758D6">
      <w:pPr>
        <w:pStyle w:val="231"/>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四、投标报价表格</w:t>
      </w:r>
    </w:p>
    <w:p w14:paraId="73F39E00">
      <w:pPr>
        <w:pStyle w:val="231"/>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五、企业声明函</w:t>
      </w:r>
    </w:p>
    <w:p w14:paraId="397B8D78">
      <w:pPr>
        <w:pStyle w:val="231"/>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六、商务条款偏离表</w:t>
      </w:r>
    </w:p>
    <w:p w14:paraId="056D988C">
      <w:pPr>
        <w:pStyle w:val="231"/>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七、技术规格偏离表</w:t>
      </w:r>
    </w:p>
    <w:p w14:paraId="75913D96">
      <w:pPr>
        <w:pStyle w:val="231"/>
        <w:spacing w:line="360" w:lineRule="auto"/>
        <w:rPr>
          <w:rFonts w:ascii="Times New Roman" w:hAnsi="Times New Roman" w:eastAsia="仿宋_GB2312" w:cs="Times New Roman"/>
          <w:color w:val="auto"/>
          <w:sz w:val="28"/>
          <w:szCs w:val="28"/>
          <w:lang w:val="zh-TW"/>
        </w:rPr>
      </w:pPr>
      <w:r>
        <w:rPr>
          <w:rFonts w:hint="eastAsia" w:ascii="Times New Roman" w:hAnsi="Times New Roman" w:eastAsia="仿宋_GB2312" w:cs="Times New Roman"/>
          <w:color w:val="auto"/>
          <w:sz w:val="28"/>
          <w:szCs w:val="28"/>
          <w:lang w:val="zh-TW"/>
        </w:rPr>
        <w:t>八</w:t>
      </w:r>
      <w:r>
        <w:rPr>
          <w:rFonts w:ascii="Times New Roman" w:hAnsi="Times New Roman" w:eastAsia="仿宋_GB2312" w:cs="Times New Roman"/>
          <w:color w:val="auto"/>
          <w:sz w:val="28"/>
          <w:szCs w:val="28"/>
          <w:lang w:val="zh-TW"/>
        </w:rPr>
        <w:t>、</w:t>
      </w:r>
      <w:r>
        <w:rPr>
          <w:rFonts w:hint="eastAsia" w:ascii="Times New Roman" w:hAnsi="Times New Roman" w:eastAsia="仿宋_GB2312" w:cs="Times New Roman"/>
          <w:color w:val="auto"/>
          <w:sz w:val="28"/>
          <w:szCs w:val="28"/>
          <w:lang w:val="zh-TW"/>
        </w:rPr>
        <w:t>服务规格偏离表</w:t>
      </w:r>
    </w:p>
    <w:p w14:paraId="5E8364B3">
      <w:pPr>
        <w:pStyle w:val="231"/>
        <w:spacing w:line="360" w:lineRule="auto"/>
        <w:rPr>
          <w:rFonts w:ascii="Times New Roman" w:hAnsi="Times New Roman" w:eastAsia="仿宋_GB2312" w:cs="Times New Roman"/>
          <w:color w:val="auto"/>
          <w:sz w:val="28"/>
          <w:szCs w:val="28"/>
          <w:lang w:val="zh-TW"/>
        </w:rPr>
      </w:pPr>
      <w:r>
        <w:rPr>
          <w:rFonts w:hint="eastAsia" w:ascii="Times New Roman" w:hAnsi="Times New Roman" w:eastAsia="仿宋_GB2312" w:cs="Times New Roman"/>
          <w:color w:val="auto"/>
          <w:sz w:val="28"/>
          <w:szCs w:val="28"/>
          <w:lang w:val="zh-TW"/>
        </w:rPr>
        <w:t>九、</w:t>
      </w:r>
      <w:r>
        <w:rPr>
          <w:rFonts w:ascii="Times New Roman" w:hAnsi="Times New Roman" w:eastAsia="仿宋_GB2312" w:cs="Times New Roman"/>
          <w:color w:val="auto"/>
          <w:sz w:val="28"/>
          <w:szCs w:val="28"/>
          <w:lang w:val="zh-TW"/>
        </w:rPr>
        <w:t>综合证明文件</w:t>
      </w:r>
    </w:p>
    <w:p w14:paraId="16C8AD70">
      <w:pPr>
        <w:pStyle w:val="231"/>
        <w:spacing w:line="360" w:lineRule="auto"/>
        <w:rPr>
          <w:rFonts w:ascii="Times New Roman" w:hAnsi="Times New Roman" w:eastAsia="仿宋_GB2312" w:cs="Times New Roman"/>
          <w:color w:val="auto"/>
          <w:sz w:val="28"/>
          <w:szCs w:val="28"/>
          <w:lang w:val="zh-TW"/>
        </w:rPr>
      </w:pPr>
      <w:r>
        <w:rPr>
          <w:rFonts w:hint="eastAsia" w:ascii="Times New Roman" w:hAnsi="Times New Roman" w:eastAsia="仿宋_GB2312" w:cs="Times New Roman"/>
          <w:color w:val="auto"/>
          <w:sz w:val="28"/>
          <w:szCs w:val="28"/>
          <w:lang w:val="zh-TW"/>
        </w:rPr>
        <w:t>十、产品适用政府采购政策情况表（节能、环保）</w:t>
      </w:r>
    </w:p>
    <w:p w14:paraId="030025F3">
      <w:pPr>
        <w:pStyle w:val="231"/>
        <w:spacing w:line="360" w:lineRule="auto"/>
        <w:rPr>
          <w:rFonts w:ascii="Times New Roman" w:hAnsi="Times New Roman" w:eastAsia="仿宋_GB2312" w:cs="Times New Roman"/>
          <w:color w:val="auto"/>
          <w:sz w:val="28"/>
          <w:szCs w:val="28"/>
          <w:lang w:val="zh-TW"/>
        </w:rPr>
      </w:pPr>
      <w:r>
        <w:rPr>
          <w:rFonts w:hint="eastAsia" w:ascii="Times New Roman" w:hAnsi="Times New Roman" w:eastAsia="仿宋_GB2312" w:cs="Times New Roman"/>
          <w:color w:val="auto"/>
          <w:sz w:val="28"/>
          <w:szCs w:val="28"/>
          <w:lang w:val="en"/>
        </w:rPr>
        <w:t>十一</w:t>
      </w:r>
      <w:r>
        <w:rPr>
          <w:rFonts w:ascii="Times New Roman" w:hAnsi="Times New Roman" w:eastAsia="仿宋_GB2312" w:cs="Times New Roman"/>
          <w:color w:val="auto"/>
          <w:sz w:val="28"/>
          <w:szCs w:val="28"/>
        </w:rPr>
        <w:t>、</w:t>
      </w:r>
      <w:r>
        <w:rPr>
          <w:rFonts w:ascii="Times New Roman" w:hAnsi="Times New Roman" w:eastAsia="仿宋_GB2312" w:cs="Times New Roman"/>
          <w:color w:val="auto"/>
          <w:sz w:val="28"/>
          <w:szCs w:val="28"/>
          <w:lang w:val="zh-TW"/>
        </w:rPr>
        <w:t>其他文件</w:t>
      </w:r>
    </w:p>
    <w:p w14:paraId="3104166E">
      <w:pPr>
        <w:pStyle w:val="231"/>
        <w:spacing w:line="360" w:lineRule="auto"/>
        <w:rPr>
          <w:rFonts w:ascii="Times New Roman" w:hAnsi="Times New Roman" w:eastAsia="仿宋_GB2312" w:cs="Times New Roman"/>
          <w:color w:val="auto"/>
          <w:sz w:val="28"/>
          <w:szCs w:val="28"/>
          <w:lang w:val="zh-TW"/>
        </w:rPr>
      </w:pPr>
    </w:p>
    <w:p w14:paraId="7885B2CF">
      <w:pPr>
        <w:pStyle w:val="231"/>
        <w:spacing w:line="360" w:lineRule="auto"/>
        <w:rPr>
          <w:rFonts w:ascii="Times New Roman" w:hAnsi="Times New Roman" w:eastAsia="仿宋_GB2312" w:cs="Times New Roman"/>
          <w:color w:val="auto"/>
          <w:sz w:val="28"/>
          <w:szCs w:val="28"/>
          <w:lang w:val="zh-TW"/>
        </w:rPr>
      </w:pPr>
    </w:p>
    <w:p w14:paraId="7B1322D9">
      <w:pPr>
        <w:pStyle w:val="3"/>
        <w:spacing w:before="0" w:after="0" w:line="360" w:lineRule="auto"/>
        <w:jc w:val="center"/>
        <w:rPr>
          <w:rFonts w:ascii="Times New Roman" w:hAnsi="Times New Roman" w:eastAsia="方正小标宋_GBK"/>
          <w:b w:val="0"/>
          <w:color w:val="auto"/>
          <w:sz w:val="30"/>
          <w:szCs w:val="30"/>
          <w:lang w:val="en-US" w:eastAsia="zh-CN"/>
        </w:rPr>
      </w:pPr>
      <w:r>
        <w:rPr>
          <w:rFonts w:ascii="Times New Roman" w:hAnsi="Times New Roman"/>
          <w:color w:val="auto"/>
          <w:lang w:eastAsia="zh-CN"/>
        </w:rPr>
        <w:br w:type="page"/>
      </w:r>
      <w:bookmarkStart w:id="351" w:name="_Toc1166680205"/>
      <w:bookmarkStart w:id="352" w:name="_Toc796765497"/>
      <w:bookmarkStart w:id="353" w:name="_Toc343930138"/>
      <w:bookmarkStart w:id="354" w:name="_Toc1004533822"/>
      <w:bookmarkStart w:id="355" w:name="_Toc1383476989"/>
      <w:bookmarkStart w:id="356" w:name="_Toc1032668283"/>
      <w:bookmarkStart w:id="357" w:name="_Toc296336852"/>
      <w:bookmarkStart w:id="358" w:name="_Toc653176911"/>
      <w:bookmarkStart w:id="359" w:name="_Toc520566279"/>
      <w:r>
        <w:rPr>
          <w:rFonts w:ascii="Times New Roman" w:hAnsi="Times New Roman" w:eastAsia="方正小标宋_GBK"/>
          <w:b w:val="0"/>
          <w:color w:val="auto"/>
          <w:sz w:val="30"/>
          <w:szCs w:val="30"/>
          <w:lang w:val="en-US" w:eastAsia="zh-CN"/>
        </w:rPr>
        <w:t>一、</w:t>
      </w:r>
      <w:r>
        <w:rPr>
          <w:rFonts w:ascii="Times New Roman" w:hAnsi="Times New Roman" w:eastAsia="方正小标宋_GBK"/>
          <w:b w:val="0"/>
          <w:color w:val="auto"/>
          <w:sz w:val="30"/>
          <w:szCs w:val="30"/>
          <w:lang w:eastAsia="zh-CN"/>
        </w:rPr>
        <w:t>投标函</w:t>
      </w:r>
      <w:bookmarkEnd w:id="351"/>
      <w:bookmarkEnd w:id="352"/>
      <w:bookmarkEnd w:id="353"/>
      <w:bookmarkEnd w:id="354"/>
      <w:bookmarkEnd w:id="355"/>
      <w:bookmarkEnd w:id="356"/>
      <w:bookmarkEnd w:id="357"/>
      <w:bookmarkEnd w:id="358"/>
      <w:bookmarkEnd w:id="359"/>
    </w:p>
    <w:p w14:paraId="0F2CBFA9">
      <w:pPr>
        <w:spacing w:line="480" w:lineRule="exact"/>
        <w:rPr>
          <w:rFonts w:hint="default" w:ascii="仿宋_GB2312" w:hAnsi="Times New Roman" w:eastAsia="仿宋_GB2312" w:cs="Times New Roman"/>
          <w:color w:val="auto"/>
          <w:sz w:val="28"/>
          <w:szCs w:val="28"/>
          <w:u w:val="single"/>
          <w:lang w:eastAsia="zh-CN"/>
        </w:rPr>
      </w:pPr>
      <w:r>
        <w:rPr>
          <w:rFonts w:ascii="仿宋_GB2312" w:hAnsi="Times New Roman" w:eastAsia="仿宋_GB2312" w:cs="Times New Roman"/>
          <w:color w:val="auto"/>
          <w:sz w:val="28"/>
          <w:szCs w:val="28"/>
          <w:lang w:eastAsia="zh-CN"/>
        </w:rPr>
        <w:t>致：</w:t>
      </w:r>
      <w:r>
        <w:rPr>
          <w:rFonts w:ascii="仿宋_GB2312" w:hAnsi="Times New Roman" w:eastAsia="仿宋_GB2312" w:cs="Times New Roman"/>
          <w:color w:val="auto"/>
          <w:sz w:val="28"/>
          <w:szCs w:val="28"/>
          <w:u w:val="single"/>
          <w:lang w:val="en-US" w:eastAsia="zh-CN"/>
        </w:rPr>
        <w:t xml:space="preserve"> </w:t>
      </w:r>
      <w:r>
        <w:rPr>
          <w:rFonts w:ascii="仿宋_GB2312" w:hAnsi="Times New Roman" w:eastAsia="仿宋_GB2312" w:cs="Times New Roman"/>
          <w:color w:val="auto"/>
          <w:sz w:val="28"/>
          <w:szCs w:val="28"/>
          <w:u w:val="single"/>
          <w:lang w:val="en" w:eastAsia="zh-CN"/>
        </w:rPr>
        <w:t>新乡医学院第一附属医院</w:t>
      </w:r>
      <w:r>
        <w:rPr>
          <w:rFonts w:ascii="仿宋_GB2312" w:hAnsi="Times New Roman" w:eastAsia="仿宋_GB2312" w:cs="Times New Roman"/>
          <w:color w:val="auto"/>
          <w:sz w:val="28"/>
          <w:szCs w:val="28"/>
          <w:u w:val="single"/>
          <w:lang w:eastAsia="zh-CN"/>
        </w:rPr>
        <w:t xml:space="preserve"> </w:t>
      </w:r>
    </w:p>
    <w:p w14:paraId="023A6ABF">
      <w:pPr>
        <w:spacing w:line="480" w:lineRule="exact"/>
        <w:ind w:firstLine="48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我们收到了采购编号为</w:t>
      </w:r>
      <w:r>
        <w:rPr>
          <w:rFonts w:ascii="仿宋_GB2312" w:hAnsi="Times New Roman" w:eastAsia="仿宋_GB2312" w:cs="Times New Roman"/>
          <w:color w:val="auto"/>
          <w:sz w:val="28"/>
          <w:szCs w:val="28"/>
          <w:u w:val="single"/>
          <w:lang w:eastAsia="zh-CN"/>
        </w:rPr>
        <w:t xml:space="preserve"> </w:t>
      </w:r>
      <w:r>
        <w:rPr>
          <w:rFonts w:ascii="仿宋_GB2312" w:hAnsi="Times New Roman" w:eastAsia="仿宋_GB2312" w:cs="Times New Roman"/>
          <w:color w:val="auto"/>
          <w:sz w:val="28"/>
          <w:szCs w:val="28"/>
          <w:u w:val="single"/>
          <w:lang w:val="en" w:eastAsia="zh-CN"/>
        </w:rPr>
        <w:t>豫财招标采购-2024-1257</w:t>
      </w:r>
      <w:r>
        <w:rPr>
          <w:rFonts w:ascii="仿宋_GB2312" w:hAnsi="Times New Roman" w:eastAsia="仿宋_GB2312" w:cs="Times New Roman"/>
          <w:color w:val="auto"/>
          <w:sz w:val="28"/>
          <w:szCs w:val="28"/>
          <w:u w:val="single"/>
          <w:lang w:val="en-US" w:eastAsia="zh-CN"/>
        </w:rPr>
        <w:t xml:space="preserve">  </w:t>
      </w:r>
      <w:r>
        <w:rPr>
          <w:rFonts w:ascii="仿宋_GB2312" w:hAnsi="Times New Roman" w:eastAsia="仿宋_GB2312" w:cs="Times New Roman"/>
          <w:color w:val="auto"/>
          <w:sz w:val="28"/>
          <w:szCs w:val="28"/>
          <w:lang w:eastAsia="zh-CN"/>
        </w:rPr>
        <w:t>的</w:t>
      </w:r>
      <w:r>
        <w:rPr>
          <w:rFonts w:ascii="仿宋_GB2312" w:hAnsi="Times New Roman" w:eastAsia="仿宋_GB2312" w:cs="Times New Roman"/>
          <w:color w:val="auto"/>
          <w:sz w:val="28"/>
          <w:szCs w:val="28"/>
          <w:u w:val="single"/>
          <w:lang w:val="en-US" w:eastAsia="zh-CN"/>
        </w:rPr>
        <w:t xml:space="preserve"> </w:t>
      </w:r>
      <w:r>
        <w:rPr>
          <w:rFonts w:ascii="仿宋_GB2312" w:hAnsi="Times New Roman" w:eastAsia="仿宋_GB2312" w:cs="Times New Roman"/>
          <w:color w:val="auto"/>
          <w:sz w:val="28"/>
          <w:szCs w:val="28"/>
          <w:u w:val="single"/>
          <w:lang w:val="en" w:eastAsia="zh-CN"/>
        </w:rPr>
        <w:t>新乡医学院第一附属医院信息化基础设施及安全能力提升项目</w:t>
      </w:r>
      <w:r>
        <w:rPr>
          <w:rFonts w:ascii="仿宋_GB2312" w:hAnsi="Times New Roman" w:eastAsia="仿宋_GB2312" w:cs="Times New Roman"/>
          <w:color w:val="auto"/>
          <w:sz w:val="28"/>
          <w:szCs w:val="28"/>
          <w:lang w:eastAsia="zh-CN"/>
        </w:rPr>
        <w:t>采购文件，经详细研究，我们决定参加该项目的投标活动并按要求提交投标文件。我们郑重声明以下诸点并负法律责任</w:t>
      </w:r>
      <w:r>
        <w:rPr>
          <w:rFonts w:ascii="仿宋_GB2312" w:hAnsi="Times New Roman" w:eastAsia="仿宋_GB2312" w:cs="Times New Roman"/>
          <w:color w:val="auto"/>
          <w:sz w:val="28"/>
          <w:szCs w:val="28"/>
          <w:lang w:val="en-US" w:eastAsia="zh-CN"/>
        </w:rPr>
        <w:t>:</w:t>
      </w:r>
    </w:p>
    <w:p w14:paraId="78C64CAD">
      <w:pPr>
        <w:spacing w:line="480" w:lineRule="exact"/>
        <w:ind w:firstLine="48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 xml:space="preserve">(1) </w:t>
      </w:r>
      <w:r>
        <w:rPr>
          <w:rFonts w:ascii="仿宋_GB2312" w:hAnsi="Times New Roman" w:eastAsia="仿宋_GB2312" w:cs="Times New Roman"/>
          <w:color w:val="auto"/>
          <w:sz w:val="28"/>
          <w:szCs w:val="28"/>
          <w:lang w:eastAsia="zh-CN"/>
        </w:rPr>
        <w:t>愿按照采购文件中规定的条款和要求，提供完成采购文件规定的全部工作，投标总报价为（大写）</w:t>
      </w:r>
      <w:r>
        <w:rPr>
          <w:rFonts w:ascii="仿宋_GB2312" w:hAnsi="Times New Roman" w:eastAsia="仿宋_GB2312" w:cs="Times New Roman"/>
          <w:color w:val="auto"/>
          <w:sz w:val="28"/>
          <w:szCs w:val="28"/>
          <w:u w:val="single"/>
          <w:lang w:val="en-US" w:eastAsia="zh-CN"/>
        </w:rPr>
        <w:t xml:space="preserve">         </w:t>
      </w:r>
      <w:r>
        <w:rPr>
          <w:rFonts w:ascii="仿宋_GB2312" w:hAnsi="Times New Roman" w:eastAsia="仿宋_GB2312" w:cs="Times New Roman"/>
          <w:color w:val="auto"/>
          <w:sz w:val="28"/>
          <w:szCs w:val="28"/>
          <w:lang w:eastAsia="zh-CN"/>
        </w:rPr>
        <w:t>元人民币，（小写）￥：</w:t>
      </w:r>
      <w:r>
        <w:rPr>
          <w:rFonts w:ascii="仿宋_GB2312" w:hAnsi="Times New Roman" w:eastAsia="仿宋_GB2312" w:cs="Times New Roman"/>
          <w:color w:val="auto"/>
          <w:sz w:val="28"/>
          <w:szCs w:val="28"/>
          <w:u w:val="single"/>
          <w:lang w:val="en-US" w:eastAsia="zh-CN"/>
        </w:rPr>
        <w:t xml:space="preserve">         </w:t>
      </w:r>
      <w:r>
        <w:rPr>
          <w:rFonts w:ascii="仿宋_GB2312" w:hAnsi="Times New Roman" w:eastAsia="仿宋_GB2312" w:cs="Times New Roman"/>
          <w:color w:val="auto"/>
          <w:sz w:val="28"/>
          <w:szCs w:val="28"/>
          <w:lang w:eastAsia="zh-CN"/>
        </w:rPr>
        <w:t>元），投标有效期</w:t>
      </w:r>
      <w:r>
        <w:rPr>
          <w:rFonts w:ascii="仿宋_GB2312" w:hAnsi="Times New Roman" w:eastAsia="仿宋_GB2312" w:cs="Times New Roman"/>
          <w:color w:val="auto"/>
          <w:sz w:val="28"/>
          <w:szCs w:val="28"/>
          <w:u w:val="single"/>
          <w:lang w:val="en-US" w:eastAsia="zh-CN"/>
        </w:rPr>
        <w:t xml:space="preserve"> </w:t>
      </w:r>
      <w:r>
        <w:rPr>
          <w:rFonts w:ascii="仿宋_GB2312" w:hAnsi="Times New Roman" w:eastAsia="仿宋_GB2312" w:cs="Times New Roman"/>
          <w:color w:val="auto"/>
          <w:sz w:val="28"/>
          <w:szCs w:val="28"/>
          <w:u w:val="single"/>
          <w:lang w:eastAsia="zh-CN"/>
        </w:rPr>
        <w:t>60</w:t>
      </w:r>
      <w:r>
        <w:rPr>
          <w:rFonts w:ascii="仿宋_GB2312" w:hAnsi="Times New Roman" w:eastAsia="仿宋_GB2312" w:cs="Times New Roman"/>
          <w:color w:val="auto"/>
          <w:sz w:val="28"/>
          <w:szCs w:val="28"/>
          <w:u w:val="single"/>
          <w:lang w:val="en-US" w:eastAsia="zh-CN"/>
        </w:rPr>
        <w:t xml:space="preserve"> </w:t>
      </w:r>
      <w:r>
        <w:rPr>
          <w:rFonts w:ascii="仿宋_GB2312" w:hAnsi="Times New Roman" w:eastAsia="仿宋_GB2312" w:cs="Times New Roman"/>
          <w:color w:val="auto"/>
          <w:sz w:val="28"/>
          <w:szCs w:val="28"/>
          <w:lang w:eastAsia="zh-CN"/>
        </w:rPr>
        <w:t>天。</w:t>
      </w:r>
    </w:p>
    <w:p w14:paraId="48A457F6">
      <w:pPr>
        <w:spacing w:line="480" w:lineRule="exact"/>
        <w:ind w:firstLine="48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 xml:space="preserve">(2) </w:t>
      </w:r>
      <w:r>
        <w:rPr>
          <w:rFonts w:ascii="仿宋_GB2312" w:hAnsi="Times New Roman" w:eastAsia="仿宋_GB2312" w:cs="Times New Roman"/>
          <w:color w:val="auto"/>
          <w:sz w:val="28"/>
          <w:szCs w:val="28"/>
          <w:lang w:eastAsia="zh-CN"/>
        </w:rPr>
        <w:t>如果我们的投标文件被接受，我们将履行招标文件中规定的各项要求。</w:t>
      </w:r>
    </w:p>
    <w:p w14:paraId="3EADCC31">
      <w:pPr>
        <w:spacing w:line="480" w:lineRule="exact"/>
        <w:ind w:firstLine="48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 xml:space="preserve">(3) </w:t>
      </w:r>
      <w:r>
        <w:rPr>
          <w:rFonts w:ascii="仿宋_GB2312" w:hAnsi="Times New Roman" w:eastAsia="仿宋_GB2312" w:cs="Times New Roman"/>
          <w:color w:val="auto"/>
          <w:sz w:val="28"/>
          <w:szCs w:val="28"/>
          <w:lang w:eastAsia="zh-CN"/>
        </w:rPr>
        <w:t>我们同意本招标文件中有关投标有效期的规定。如果中标，有效期延长至合同终止日止。</w:t>
      </w:r>
    </w:p>
    <w:p w14:paraId="765A80A6">
      <w:pPr>
        <w:spacing w:line="480" w:lineRule="exact"/>
        <w:ind w:firstLine="48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 xml:space="preserve">(4) </w:t>
      </w:r>
      <w:r>
        <w:rPr>
          <w:rFonts w:ascii="仿宋_GB2312" w:hAnsi="Times New Roman" w:eastAsia="仿宋_GB2312" w:cs="Times New Roman"/>
          <w:color w:val="auto"/>
          <w:sz w:val="28"/>
          <w:szCs w:val="28"/>
          <w:lang w:eastAsia="zh-CN"/>
        </w:rPr>
        <w:t>我们愿提供招标文件中要求的所有文件资料。</w:t>
      </w:r>
    </w:p>
    <w:p w14:paraId="29CDBB10">
      <w:pPr>
        <w:spacing w:line="480" w:lineRule="exact"/>
        <w:ind w:firstLine="48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 xml:space="preserve">(5) </w:t>
      </w:r>
      <w:r>
        <w:rPr>
          <w:rFonts w:ascii="仿宋_GB2312" w:hAnsi="Times New Roman" w:eastAsia="仿宋_GB2312" w:cs="Times New Roman"/>
          <w:color w:val="auto"/>
          <w:sz w:val="28"/>
          <w:szCs w:val="28"/>
          <w:lang w:eastAsia="zh-CN"/>
        </w:rPr>
        <w:t>我们已经详细审核了全部采购文件，如有需要澄清的问题，我们同意按采购文件规定的时间向采购人提出。逾期不提，我公司同意放弃对这方面有不明及误解的权利。</w:t>
      </w:r>
    </w:p>
    <w:p w14:paraId="143E37B0">
      <w:pPr>
        <w:spacing w:line="480" w:lineRule="exact"/>
        <w:ind w:firstLine="48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 xml:space="preserve">(6) </w:t>
      </w:r>
      <w:r>
        <w:rPr>
          <w:rFonts w:ascii="仿宋_GB2312" w:hAnsi="Times New Roman" w:eastAsia="仿宋_GB2312" w:cs="Times New Roman"/>
          <w:color w:val="auto"/>
          <w:sz w:val="28"/>
          <w:szCs w:val="28"/>
          <w:lang w:eastAsia="zh-CN"/>
        </w:rPr>
        <w:t>我们承诺，与采购人聘请的为此项目提供咨询服务及任何附属机构均无关联，非采购人的附属机构。</w:t>
      </w:r>
    </w:p>
    <w:p w14:paraId="3D72362D">
      <w:pPr>
        <w:spacing w:line="480" w:lineRule="exact"/>
        <w:ind w:firstLine="48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 xml:space="preserve">(7) </w:t>
      </w:r>
      <w:r>
        <w:rPr>
          <w:rFonts w:ascii="仿宋_GB2312" w:hAnsi="Times New Roman" w:eastAsia="仿宋_GB2312" w:cs="Times New Roman"/>
          <w:color w:val="auto"/>
          <w:sz w:val="28"/>
          <w:szCs w:val="28"/>
          <w:lang w:eastAsia="zh-CN"/>
        </w:rPr>
        <w:t>我公司同意提供按照采购人可能要求的与其投标有关的一切数据或资料，完全理解采购人不一定接受最低价的投标或收到的任何投标。</w:t>
      </w:r>
    </w:p>
    <w:p w14:paraId="38319B68">
      <w:pPr>
        <w:spacing w:line="480" w:lineRule="exact"/>
        <w:ind w:firstLine="480"/>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 xml:space="preserve">(8) </w:t>
      </w:r>
      <w:r>
        <w:rPr>
          <w:rFonts w:ascii="仿宋_GB2312" w:hAnsi="Times New Roman" w:eastAsia="仿宋_GB2312" w:cs="Times New Roman"/>
          <w:color w:val="auto"/>
          <w:sz w:val="28"/>
          <w:szCs w:val="28"/>
          <w:lang w:eastAsia="zh-CN"/>
        </w:rPr>
        <w:t>如果我们的投标文件被接受，我们将按招标文件的规定签订并严格履行合同中的责任和义务。</w:t>
      </w:r>
    </w:p>
    <w:p w14:paraId="6BC6B557">
      <w:pPr>
        <w:spacing w:line="480" w:lineRule="exact"/>
        <w:ind w:firstLine="48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w:t>
      </w:r>
      <w:r>
        <w:rPr>
          <w:rFonts w:ascii="仿宋_GB2312" w:hAnsi="Times New Roman" w:eastAsia="仿宋_GB2312" w:cs="Times New Roman"/>
          <w:color w:val="auto"/>
          <w:sz w:val="28"/>
          <w:szCs w:val="28"/>
          <w:lang w:val="en" w:eastAsia="zh-CN"/>
        </w:rPr>
        <w:t>9</w:t>
      </w:r>
      <w:r>
        <w:rPr>
          <w:rFonts w:ascii="仿宋_GB2312" w:hAnsi="Times New Roman" w:eastAsia="仿宋_GB2312" w:cs="Times New Roman"/>
          <w:color w:val="auto"/>
          <w:sz w:val="28"/>
          <w:szCs w:val="28"/>
          <w:lang w:val="en-US" w:eastAsia="zh-CN"/>
        </w:rPr>
        <w:t>)</w:t>
      </w:r>
      <w:r>
        <w:rPr>
          <w:rFonts w:ascii="仿宋_GB2312" w:hAnsi="Times New Roman" w:eastAsia="仿宋_GB2312" w:cs="Times New Roman"/>
          <w:color w:val="auto"/>
          <w:sz w:val="28"/>
          <w:szCs w:val="28"/>
          <w:lang w:eastAsia="zh-CN"/>
        </w:rPr>
        <w:t>我公司公平竞争参加本次招标活动。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55780811">
      <w:pPr>
        <w:spacing w:line="480" w:lineRule="exact"/>
        <w:ind w:firstLine="48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(10)</w:t>
      </w:r>
      <w:r>
        <w:rPr>
          <w:rFonts w:ascii="仿宋_GB2312" w:hAnsi="Times New Roman" w:eastAsia="仿宋_GB2312" w:cs="Times New Roman"/>
          <w:color w:val="auto"/>
          <w:sz w:val="28"/>
          <w:szCs w:val="28"/>
          <w:lang w:eastAsia="zh-CN"/>
        </w:rPr>
        <w:t>我公司独立参加投标，未组成联合体参加投标。</w:t>
      </w:r>
    </w:p>
    <w:p w14:paraId="2DFFB4AD">
      <w:pPr>
        <w:spacing w:line="480" w:lineRule="exact"/>
        <w:ind w:firstLine="48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w:t>
      </w:r>
      <w:r>
        <w:rPr>
          <w:rFonts w:ascii="仿宋_GB2312" w:hAnsi="Times New Roman" w:eastAsia="仿宋_GB2312" w:cs="Times New Roman"/>
          <w:color w:val="auto"/>
          <w:sz w:val="28"/>
          <w:szCs w:val="28"/>
          <w:lang w:val="en" w:eastAsia="zh-CN"/>
        </w:rPr>
        <w:t>1</w:t>
      </w:r>
      <w:r>
        <w:rPr>
          <w:rFonts w:ascii="仿宋_GB2312" w:hAnsi="Times New Roman" w:eastAsia="仿宋_GB2312" w:cs="Times New Roman"/>
          <w:color w:val="auto"/>
          <w:sz w:val="28"/>
          <w:szCs w:val="28"/>
          <w:lang w:val="en-US" w:eastAsia="zh-CN"/>
        </w:rPr>
        <w:t>1)</w:t>
      </w:r>
      <w:r>
        <w:rPr>
          <w:rFonts w:ascii="仿宋_GB2312" w:hAnsi="Times New Roman" w:eastAsia="仿宋_GB2312" w:cs="Times New Roman"/>
          <w:color w:val="auto"/>
          <w:sz w:val="28"/>
          <w:szCs w:val="28"/>
          <w:lang w:eastAsia="zh-CN"/>
        </w:rPr>
        <w:t>除不可抗力外，我公司如果发生以下行为，将在行为发生的10个工作日内，向贵方支付本招标文件公布的最高限价的2%作为违约赔偿金。</w:t>
      </w:r>
    </w:p>
    <w:p w14:paraId="41C13B99">
      <w:pPr>
        <w:spacing w:line="480" w:lineRule="exact"/>
        <w:ind w:firstLine="48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rPr>
        <w:fldChar w:fldCharType="begin"/>
      </w:r>
      <w:r>
        <w:rPr>
          <w:rFonts w:ascii="仿宋_GB2312" w:hAnsi="Times New Roman" w:eastAsia="仿宋_GB2312" w:cs="Times New Roman"/>
          <w:color w:val="auto"/>
          <w:sz w:val="28"/>
          <w:szCs w:val="28"/>
          <w:lang w:eastAsia="zh-CN"/>
        </w:rPr>
        <w:instrText xml:space="preserve"> = 1 \* GB3 \* MERGEFORMAT </w:instrText>
      </w:r>
      <w:r>
        <w:rPr>
          <w:rFonts w:ascii="仿宋_GB2312" w:hAnsi="Times New Roman" w:eastAsia="仿宋_GB2312" w:cs="Times New Roman"/>
          <w:color w:val="auto"/>
          <w:sz w:val="28"/>
          <w:szCs w:val="28"/>
        </w:rPr>
        <w:fldChar w:fldCharType="separate"/>
      </w:r>
      <w:r>
        <w:rPr>
          <w:rFonts w:ascii="仿宋_GB2312" w:hAnsi="Times New Roman" w:eastAsia="仿宋_GB2312" w:cs="Times New Roman"/>
          <w:color w:val="auto"/>
          <w:sz w:val="28"/>
          <w:szCs w:val="28"/>
          <w:lang w:eastAsia="zh-CN"/>
        </w:rPr>
        <w:t>①</w:t>
      </w:r>
      <w:r>
        <w:rPr>
          <w:rFonts w:ascii="仿宋_GB2312" w:hAnsi="Times New Roman" w:eastAsia="仿宋_GB2312" w:cs="Times New Roman"/>
          <w:color w:val="auto"/>
          <w:sz w:val="28"/>
          <w:szCs w:val="28"/>
        </w:rPr>
        <w:fldChar w:fldCharType="end"/>
      </w:r>
      <w:r>
        <w:rPr>
          <w:rFonts w:ascii="仿宋_GB2312" w:hAnsi="Times New Roman" w:eastAsia="仿宋_GB2312" w:cs="Times New Roman"/>
          <w:color w:val="auto"/>
          <w:sz w:val="28"/>
          <w:szCs w:val="28"/>
          <w:lang w:eastAsia="zh-CN"/>
        </w:rPr>
        <w:t>在招标文件规定的投标有效期内实质上修改或撤回投标；</w:t>
      </w:r>
    </w:p>
    <w:p w14:paraId="0547A32A">
      <w:pPr>
        <w:spacing w:line="480" w:lineRule="exact"/>
        <w:ind w:firstLine="48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rPr>
        <w:fldChar w:fldCharType="begin"/>
      </w:r>
      <w:r>
        <w:rPr>
          <w:rFonts w:ascii="仿宋_GB2312" w:hAnsi="Times New Roman" w:eastAsia="仿宋_GB2312" w:cs="Times New Roman"/>
          <w:color w:val="auto"/>
          <w:sz w:val="28"/>
          <w:szCs w:val="28"/>
          <w:lang w:eastAsia="zh-CN"/>
        </w:rPr>
        <w:instrText xml:space="preserve"> = 2 \* GB3 \* MERGEFORMAT </w:instrText>
      </w:r>
      <w:r>
        <w:rPr>
          <w:rFonts w:ascii="仿宋_GB2312" w:hAnsi="Times New Roman" w:eastAsia="仿宋_GB2312" w:cs="Times New Roman"/>
          <w:color w:val="auto"/>
          <w:sz w:val="28"/>
          <w:szCs w:val="28"/>
        </w:rPr>
        <w:fldChar w:fldCharType="separate"/>
      </w:r>
      <w:r>
        <w:rPr>
          <w:rFonts w:ascii="仿宋_GB2312" w:hAnsi="Times New Roman" w:eastAsia="仿宋_GB2312" w:cs="Times New Roman"/>
          <w:color w:val="auto"/>
          <w:sz w:val="28"/>
          <w:szCs w:val="28"/>
          <w:lang w:eastAsia="zh-CN"/>
        </w:rPr>
        <w:t>②</w:t>
      </w:r>
      <w:r>
        <w:rPr>
          <w:rFonts w:ascii="仿宋_GB2312" w:hAnsi="Times New Roman" w:eastAsia="仿宋_GB2312" w:cs="Times New Roman"/>
          <w:color w:val="auto"/>
          <w:sz w:val="28"/>
          <w:szCs w:val="28"/>
        </w:rPr>
        <w:fldChar w:fldCharType="end"/>
      </w:r>
      <w:r>
        <w:rPr>
          <w:rFonts w:ascii="仿宋_GB2312" w:hAnsi="Times New Roman" w:eastAsia="仿宋_GB2312" w:cs="Times New Roman"/>
          <w:color w:val="auto"/>
          <w:sz w:val="28"/>
          <w:szCs w:val="28"/>
          <w:lang w:eastAsia="zh-CN"/>
        </w:rPr>
        <w:t>中标后不依法与采购人签订合同；</w:t>
      </w:r>
    </w:p>
    <w:p w14:paraId="095333CC">
      <w:pPr>
        <w:spacing w:line="480" w:lineRule="exact"/>
        <w:ind w:firstLine="48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rPr>
        <w:fldChar w:fldCharType="begin"/>
      </w:r>
      <w:r>
        <w:rPr>
          <w:rFonts w:ascii="仿宋_GB2312" w:hAnsi="Times New Roman" w:eastAsia="仿宋_GB2312" w:cs="Times New Roman"/>
          <w:color w:val="auto"/>
          <w:sz w:val="28"/>
          <w:szCs w:val="28"/>
          <w:lang w:eastAsia="zh-CN"/>
        </w:rPr>
        <w:instrText xml:space="preserve"> = 3 \* GB3 \* MERGEFORMAT </w:instrText>
      </w:r>
      <w:r>
        <w:rPr>
          <w:rFonts w:ascii="仿宋_GB2312" w:hAnsi="Times New Roman" w:eastAsia="仿宋_GB2312" w:cs="Times New Roman"/>
          <w:color w:val="auto"/>
          <w:sz w:val="28"/>
          <w:szCs w:val="28"/>
        </w:rPr>
        <w:fldChar w:fldCharType="separate"/>
      </w:r>
      <w:r>
        <w:rPr>
          <w:rFonts w:ascii="仿宋_GB2312" w:hAnsi="Times New Roman" w:eastAsia="仿宋_GB2312" w:cs="Times New Roman"/>
          <w:color w:val="auto"/>
          <w:sz w:val="28"/>
          <w:szCs w:val="28"/>
          <w:lang w:eastAsia="zh-CN"/>
        </w:rPr>
        <w:t>③</w:t>
      </w:r>
      <w:r>
        <w:rPr>
          <w:rFonts w:ascii="仿宋_GB2312" w:hAnsi="Times New Roman" w:eastAsia="仿宋_GB2312" w:cs="Times New Roman"/>
          <w:color w:val="auto"/>
          <w:sz w:val="28"/>
          <w:szCs w:val="28"/>
        </w:rPr>
        <w:fldChar w:fldCharType="end"/>
      </w:r>
      <w:r>
        <w:rPr>
          <w:rFonts w:ascii="仿宋_GB2312" w:hAnsi="Times New Roman" w:eastAsia="仿宋_GB2312" w:cs="Times New Roman"/>
          <w:color w:val="auto"/>
          <w:sz w:val="28"/>
          <w:szCs w:val="28"/>
          <w:lang w:eastAsia="zh-CN"/>
        </w:rPr>
        <w:t>在投标文件中提供虚假材料。</w:t>
      </w:r>
    </w:p>
    <w:p w14:paraId="2C19E1A4">
      <w:pPr>
        <w:spacing w:line="480" w:lineRule="exact"/>
        <w:ind w:firstLine="48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val="en-US" w:eastAsia="zh-CN"/>
        </w:rPr>
        <w:t>(</w:t>
      </w:r>
      <w:r>
        <w:rPr>
          <w:rFonts w:ascii="仿宋_GB2312" w:hAnsi="Times New Roman" w:eastAsia="仿宋_GB2312" w:cs="Times New Roman"/>
          <w:color w:val="auto"/>
          <w:sz w:val="28"/>
          <w:szCs w:val="28"/>
          <w:lang w:val="en" w:eastAsia="zh-CN"/>
        </w:rPr>
        <w:t>1</w:t>
      </w:r>
      <w:r>
        <w:rPr>
          <w:rFonts w:ascii="仿宋_GB2312" w:hAnsi="Times New Roman" w:eastAsia="仿宋_GB2312" w:cs="Times New Roman"/>
          <w:color w:val="auto"/>
          <w:sz w:val="28"/>
          <w:szCs w:val="28"/>
          <w:lang w:val="en-US" w:eastAsia="zh-CN"/>
        </w:rPr>
        <w:t xml:space="preserve">2) </w:t>
      </w:r>
      <w:r>
        <w:rPr>
          <w:rFonts w:ascii="仿宋_GB2312" w:hAnsi="Times New Roman" w:eastAsia="仿宋_GB2312" w:cs="Times New Roman"/>
          <w:color w:val="auto"/>
          <w:sz w:val="28"/>
          <w:szCs w:val="28"/>
          <w:u w:val="single"/>
          <w:lang w:val="en-US" w:eastAsia="zh-CN"/>
        </w:rPr>
        <w:t xml:space="preserve">                      </w:t>
      </w:r>
      <w:r>
        <w:rPr>
          <w:rFonts w:ascii="仿宋_GB2312" w:hAnsi="Times New Roman" w:eastAsia="仿宋_GB2312" w:cs="Times New Roman"/>
          <w:color w:val="auto"/>
          <w:sz w:val="28"/>
          <w:szCs w:val="28"/>
          <w:lang w:eastAsia="zh-CN"/>
        </w:rPr>
        <w:t>（其他补充说明）。</w:t>
      </w:r>
    </w:p>
    <w:p w14:paraId="5C6F98B8">
      <w:pPr>
        <w:spacing w:line="420" w:lineRule="exact"/>
        <w:ind w:firstLine="560"/>
        <w:rPr>
          <w:rFonts w:hint="default" w:ascii="仿宋_GB2312" w:hAnsi="Times New Roman" w:eastAsia="仿宋_GB2312" w:cs="Times New Roman"/>
          <w:color w:val="auto"/>
          <w:sz w:val="28"/>
          <w:szCs w:val="28"/>
          <w:lang w:eastAsia="zh-CN"/>
        </w:rPr>
      </w:pPr>
    </w:p>
    <w:p w14:paraId="4D89B577">
      <w:pPr>
        <w:spacing w:line="420" w:lineRule="exact"/>
        <w:ind w:firstLine="48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与本投标有关的正式通讯地址：</w:t>
      </w:r>
    </w:p>
    <w:p w14:paraId="51ED2DF9">
      <w:pPr>
        <w:spacing w:line="420" w:lineRule="exact"/>
        <w:ind w:firstLine="48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地  址：                             邮  编：</w:t>
      </w:r>
    </w:p>
    <w:p w14:paraId="4B56ADBF">
      <w:pPr>
        <w:spacing w:line="420" w:lineRule="exact"/>
        <w:ind w:firstLine="465"/>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电  话：                             传  真：</w:t>
      </w:r>
    </w:p>
    <w:p w14:paraId="459D8126">
      <w:pPr>
        <w:spacing w:line="420" w:lineRule="exact"/>
        <w:ind w:firstLine="465"/>
        <w:rPr>
          <w:rFonts w:hint="default" w:ascii="仿宋_GB2312" w:hAnsi="Times New Roman" w:eastAsia="仿宋_GB2312" w:cs="Times New Roman"/>
          <w:color w:val="auto"/>
          <w:sz w:val="28"/>
          <w:szCs w:val="28"/>
          <w:lang w:eastAsia="zh-CN"/>
        </w:rPr>
      </w:pPr>
    </w:p>
    <w:p w14:paraId="1FD7A9C1">
      <w:pPr>
        <w:spacing w:line="420" w:lineRule="exact"/>
        <w:ind w:firstLine="465"/>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投标人（企业电子签章）：</w:t>
      </w:r>
    </w:p>
    <w:p w14:paraId="6407FFE4">
      <w:pPr>
        <w:spacing w:line="420" w:lineRule="exact"/>
        <w:ind w:firstLine="465"/>
        <w:jc w:val="left"/>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 xml:space="preserve">法定代表人（个人电子签章）：       </w:t>
      </w:r>
    </w:p>
    <w:p w14:paraId="02D71832">
      <w:pPr>
        <w:pStyle w:val="16"/>
        <w:spacing w:line="420" w:lineRule="exact"/>
        <w:rPr>
          <w:rFonts w:ascii="仿宋_GB2312" w:hAnsi="Times New Roman" w:eastAsia="仿宋_GB2312"/>
          <w:sz w:val="28"/>
          <w:szCs w:val="28"/>
          <w:lang w:eastAsia="zh-CN"/>
        </w:rPr>
      </w:pPr>
    </w:p>
    <w:p w14:paraId="396802AA">
      <w:pPr>
        <w:spacing w:line="420" w:lineRule="exact"/>
        <w:rPr>
          <w:rFonts w:hint="default" w:ascii="仿宋_GB2312" w:hAnsi="Times New Roman" w:eastAsia="仿宋_GB2312" w:cs="Times New Roman"/>
          <w:color w:val="auto"/>
          <w:lang w:eastAsia="zh-CN"/>
        </w:rPr>
      </w:pPr>
    </w:p>
    <w:p w14:paraId="70E1B887">
      <w:pPr>
        <w:spacing w:line="420" w:lineRule="exact"/>
        <w:ind w:firstLine="465"/>
        <w:jc w:val="right"/>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日期：    年  月  日</w:t>
      </w:r>
    </w:p>
    <w:p w14:paraId="79B0BB05">
      <w:pPr>
        <w:pStyle w:val="3"/>
        <w:spacing w:before="0" w:after="0" w:line="360" w:lineRule="auto"/>
        <w:jc w:val="center"/>
        <w:rPr>
          <w:rFonts w:ascii="Times New Roman" w:hAnsi="Times New Roman" w:eastAsia="方正小标宋_GBK"/>
          <w:b w:val="0"/>
          <w:color w:val="auto"/>
          <w:sz w:val="30"/>
          <w:szCs w:val="30"/>
          <w:lang w:val="en-US" w:eastAsia="zh-CN"/>
        </w:rPr>
      </w:pPr>
      <w:bookmarkStart w:id="360" w:name="_Toc74240237"/>
      <w:bookmarkStart w:id="361" w:name="_Toc2582321"/>
      <w:bookmarkStart w:id="362" w:name="_Toc20897"/>
      <w:bookmarkStart w:id="363" w:name="_Toc515647818"/>
      <w:bookmarkStart w:id="364" w:name="_Toc1881"/>
      <w:bookmarkStart w:id="365" w:name="_Toc532473507"/>
      <w:r>
        <w:rPr>
          <w:rFonts w:ascii="Times New Roman" w:hAnsi="Times New Roman" w:eastAsia="黑体"/>
          <w:color w:val="auto"/>
          <w:sz w:val="28"/>
          <w:szCs w:val="28"/>
          <w:lang w:val="en-US" w:eastAsia="zh-CN"/>
        </w:rPr>
        <w:br w:type="page"/>
      </w:r>
      <w:bookmarkStart w:id="366" w:name="_Toc2113425695"/>
      <w:bookmarkStart w:id="367" w:name="_Toc1472753336"/>
      <w:bookmarkStart w:id="368" w:name="_Toc942115178"/>
      <w:bookmarkStart w:id="369" w:name="_Toc228367634"/>
      <w:bookmarkStart w:id="370" w:name="_Toc1552610899"/>
      <w:r>
        <w:rPr>
          <w:rFonts w:ascii="Times New Roman" w:hAnsi="Times New Roman" w:eastAsia="方正小标宋_GBK"/>
          <w:b w:val="0"/>
          <w:color w:val="auto"/>
          <w:sz w:val="30"/>
          <w:szCs w:val="30"/>
          <w:lang w:val="en-US" w:eastAsia="zh-CN"/>
        </w:rPr>
        <w:t>二、</w:t>
      </w:r>
      <w:r>
        <w:rPr>
          <w:rFonts w:ascii="Times New Roman" w:hAnsi="Times New Roman" w:eastAsia="方正小标宋_GBK"/>
          <w:b w:val="0"/>
          <w:color w:val="auto"/>
          <w:sz w:val="30"/>
          <w:szCs w:val="30"/>
          <w:lang w:eastAsia="zh-CN"/>
        </w:rPr>
        <w:t>法定代表人身份证明书</w:t>
      </w:r>
      <w:bookmarkEnd w:id="366"/>
      <w:bookmarkEnd w:id="367"/>
      <w:bookmarkEnd w:id="368"/>
      <w:bookmarkEnd w:id="369"/>
      <w:bookmarkEnd w:id="370"/>
    </w:p>
    <w:p w14:paraId="143DB6CC">
      <w:pPr>
        <w:spacing w:line="360" w:lineRule="auto"/>
        <w:rPr>
          <w:rFonts w:hint="default" w:ascii="Times New Roman" w:hAnsi="Times New Roman" w:eastAsia="宋体" w:cs="Times New Roman"/>
          <w:color w:val="auto"/>
          <w:sz w:val="28"/>
          <w:szCs w:val="28"/>
          <w:lang w:val="en-US" w:eastAsia="zh-CN"/>
        </w:rPr>
      </w:pPr>
    </w:p>
    <w:p w14:paraId="61AAB4F0">
      <w:pPr>
        <w:spacing w:line="360" w:lineRule="auto"/>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eastAsia="zh-CN"/>
        </w:rPr>
        <w:t>致</w:t>
      </w:r>
      <w:r>
        <w:rPr>
          <w:rFonts w:ascii="仿宋_GB2312" w:hAnsi="Times New Roman" w:eastAsia="仿宋_GB2312" w:cs="Times New Roman"/>
          <w:color w:val="auto"/>
          <w:sz w:val="28"/>
          <w:szCs w:val="28"/>
          <w:lang w:val="en-US" w:eastAsia="zh-CN"/>
        </w:rPr>
        <w:t>:</w:t>
      </w:r>
      <w:r>
        <w:rPr>
          <w:rFonts w:ascii="仿宋_GB2312" w:hAnsi="Times New Roman" w:eastAsia="仿宋_GB2312" w:cs="Times New Roman"/>
          <w:color w:val="auto"/>
          <w:sz w:val="28"/>
          <w:szCs w:val="28"/>
          <w:u w:val="single"/>
          <w:lang w:val="en" w:eastAsia="zh-CN"/>
        </w:rPr>
        <w:t xml:space="preserve"> 新乡医学院第一附属医院</w:t>
      </w:r>
      <w:r>
        <w:rPr>
          <w:rFonts w:ascii="仿宋_GB2312" w:hAnsi="Times New Roman" w:eastAsia="仿宋_GB2312" w:cs="Times New Roman"/>
          <w:color w:val="auto"/>
          <w:sz w:val="28"/>
          <w:szCs w:val="28"/>
          <w:u w:val="single"/>
          <w:lang w:val="en-US" w:eastAsia="zh-CN"/>
        </w:rPr>
        <w:t xml:space="preserve"> </w:t>
      </w:r>
    </w:p>
    <w:p w14:paraId="41B28E3A">
      <w:pPr>
        <w:spacing w:line="360" w:lineRule="auto"/>
        <w:ind w:firstLine="60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u w:val="single"/>
          <w:lang w:val="en-US" w:eastAsia="zh-CN"/>
        </w:rPr>
        <w:t xml:space="preserve">        </w:t>
      </w:r>
      <w:r>
        <w:rPr>
          <w:rFonts w:ascii="仿宋_GB2312" w:hAnsi="Times New Roman" w:eastAsia="仿宋_GB2312" w:cs="Times New Roman"/>
          <w:color w:val="auto"/>
          <w:sz w:val="28"/>
          <w:szCs w:val="28"/>
          <w:lang w:eastAsia="zh-CN"/>
        </w:rPr>
        <w:t>（姓名、性别、年龄、身份证号码）在我单位任</w:t>
      </w:r>
      <w:r>
        <w:rPr>
          <w:rFonts w:ascii="仿宋_GB2312" w:hAnsi="Times New Roman" w:eastAsia="仿宋_GB2312" w:cs="Times New Roman"/>
          <w:color w:val="auto"/>
          <w:sz w:val="28"/>
          <w:szCs w:val="28"/>
          <w:u w:val="single"/>
          <w:lang w:val="en-US" w:eastAsia="zh-CN"/>
        </w:rPr>
        <w:t xml:space="preserve">       </w:t>
      </w:r>
      <w:r>
        <w:rPr>
          <w:rFonts w:ascii="仿宋_GB2312" w:hAnsi="Times New Roman" w:eastAsia="仿宋_GB2312" w:cs="Times New Roman"/>
          <w:color w:val="auto"/>
          <w:sz w:val="28"/>
          <w:szCs w:val="28"/>
          <w:lang w:eastAsia="zh-CN"/>
        </w:rPr>
        <w:t>（董事长、总经理等）职务，是我单位的法定代表人。</w:t>
      </w:r>
    </w:p>
    <w:p w14:paraId="2C66B605">
      <w:pPr>
        <w:pStyle w:val="17"/>
      </w:pPr>
    </w:p>
    <w:p w14:paraId="7179ABBB">
      <w:pPr>
        <w:spacing w:line="360" w:lineRule="auto"/>
        <w:ind w:firstLine="480"/>
        <w:rPr>
          <w:rFonts w:hint="default" w:ascii="仿宋_GB2312" w:hAnsi="Times New Roman" w:eastAsia="仿宋_GB2312" w:cs="Times New Roman"/>
          <w:color w:val="auto"/>
          <w:sz w:val="28"/>
          <w:szCs w:val="28"/>
          <w:lang w:val="en-US" w:eastAsia="zh-CN"/>
        </w:rPr>
      </w:pPr>
    </w:p>
    <w:p w14:paraId="181240C5">
      <w:pPr>
        <w:spacing w:line="360" w:lineRule="auto"/>
        <w:ind w:firstLine="480"/>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eastAsia="zh-CN"/>
        </w:rPr>
        <w:t>特此证明。</w:t>
      </w:r>
    </w:p>
    <w:p w14:paraId="0DDC69F6">
      <w:pPr>
        <w:spacing w:line="360" w:lineRule="auto"/>
        <w:ind w:firstLine="480"/>
        <w:rPr>
          <w:rFonts w:hint="default" w:ascii="仿宋_GB2312" w:hAnsi="Times New Roman" w:eastAsia="仿宋_GB2312" w:cs="Times New Roman"/>
          <w:color w:val="auto"/>
          <w:sz w:val="28"/>
          <w:szCs w:val="28"/>
          <w:lang w:val="en-US" w:eastAsia="zh-CN"/>
        </w:rPr>
      </w:pPr>
    </w:p>
    <w:p w14:paraId="06E00BAE">
      <w:pPr>
        <w:pStyle w:val="231"/>
        <w:tabs>
          <w:tab w:val="left" w:pos="5580"/>
        </w:tabs>
        <w:spacing w:line="360" w:lineRule="auto"/>
        <w:ind w:firstLine="360"/>
        <w:rPr>
          <w:rFonts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lang w:val="zh-TW"/>
        </w:rPr>
        <w:t>投标人（企业电子签章）：</w:t>
      </w:r>
      <w:r>
        <w:rPr>
          <w:rFonts w:hint="eastAsia" w:ascii="仿宋_GB2312" w:hAnsi="Times New Roman" w:eastAsia="仿宋_GB2312" w:cs="Times New Roman"/>
          <w:color w:val="auto"/>
          <w:sz w:val="28"/>
          <w:szCs w:val="28"/>
          <w:u w:val="single"/>
        </w:rPr>
        <w:t xml:space="preserve">                             </w:t>
      </w:r>
    </w:p>
    <w:p w14:paraId="796FC273">
      <w:pPr>
        <w:pStyle w:val="231"/>
        <w:tabs>
          <w:tab w:val="left" w:pos="5580"/>
        </w:tabs>
        <w:spacing w:line="360" w:lineRule="auto"/>
        <w:ind w:left="269" w:firstLine="120"/>
        <w:rPr>
          <w:rFonts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lang w:val="zh-TW"/>
        </w:rPr>
        <w:t>详细通讯地址：</w:t>
      </w:r>
      <w:r>
        <w:rPr>
          <w:rFonts w:hint="eastAsia" w:ascii="仿宋_GB2312" w:hAnsi="Times New Roman" w:eastAsia="仿宋_GB2312" w:cs="Times New Roman"/>
          <w:color w:val="auto"/>
          <w:sz w:val="28"/>
          <w:szCs w:val="28"/>
          <w:u w:val="single"/>
        </w:rPr>
        <w:t xml:space="preserve">                                </w:t>
      </w:r>
    </w:p>
    <w:p w14:paraId="01050B1E">
      <w:pPr>
        <w:pStyle w:val="231"/>
        <w:tabs>
          <w:tab w:val="left" w:pos="5580"/>
        </w:tabs>
        <w:spacing w:line="360" w:lineRule="auto"/>
        <w:ind w:firstLine="360"/>
        <w:rPr>
          <w:rFonts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lang w:val="zh-TW"/>
        </w:rPr>
        <w:t>邮 政 编 码 ：</w:t>
      </w:r>
      <w:r>
        <w:rPr>
          <w:rFonts w:hint="eastAsia" w:ascii="仿宋_GB2312" w:hAnsi="Times New Roman" w:eastAsia="仿宋_GB2312" w:cs="Times New Roman"/>
          <w:color w:val="auto"/>
          <w:sz w:val="28"/>
          <w:szCs w:val="28"/>
          <w:u w:val="single"/>
        </w:rPr>
        <w:t xml:space="preserve">                                </w:t>
      </w:r>
    </w:p>
    <w:p w14:paraId="42B40486">
      <w:pPr>
        <w:pStyle w:val="231"/>
        <w:tabs>
          <w:tab w:val="left" w:pos="5580"/>
        </w:tabs>
        <w:spacing w:line="360" w:lineRule="auto"/>
        <w:ind w:firstLine="360"/>
        <w:rPr>
          <w:rFonts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lang w:val="zh-TW"/>
        </w:rPr>
        <w:t>传　　　　真：</w:t>
      </w:r>
      <w:r>
        <w:rPr>
          <w:rFonts w:hint="eastAsia" w:ascii="仿宋_GB2312" w:hAnsi="Times New Roman" w:eastAsia="仿宋_GB2312" w:cs="Times New Roman"/>
          <w:color w:val="auto"/>
          <w:sz w:val="28"/>
          <w:szCs w:val="28"/>
          <w:u w:val="single"/>
        </w:rPr>
        <w:t xml:space="preserve">                                </w:t>
      </w:r>
    </w:p>
    <w:p w14:paraId="240CA05F">
      <w:pPr>
        <w:pStyle w:val="231"/>
        <w:tabs>
          <w:tab w:val="left" w:pos="5580"/>
        </w:tabs>
        <w:spacing w:line="360" w:lineRule="auto"/>
        <w:ind w:firstLine="360"/>
        <w:rPr>
          <w:rFonts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lang w:val="zh-TW"/>
        </w:rPr>
        <w:t>电　　　　话：</w:t>
      </w:r>
      <w:r>
        <w:rPr>
          <w:rFonts w:hint="eastAsia" w:ascii="仿宋_GB2312" w:hAnsi="Times New Roman" w:eastAsia="仿宋_GB2312" w:cs="Times New Roman"/>
          <w:color w:val="auto"/>
          <w:sz w:val="28"/>
          <w:szCs w:val="28"/>
          <w:u w:val="single"/>
        </w:rPr>
        <w:t xml:space="preserve">                                </w:t>
      </w:r>
    </w:p>
    <w:tbl>
      <w:tblPr>
        <w:tblStyle w:val="51"/>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FFFFFF"/>
        <w:tblLayout w:type="fixed"/>
        <w:tblCellMar>
          <w:top w:w="0" w:type="dxa"/>
          <w:left w:w="0" w:type="dxa"/>
          <w:bottom w:w="0" w:type="dxa"/>
          <w:right w:w="0" w:type="dxa"/>
        </w:tblCellMar>
      </w:tblPr>
      <w:tblGrid>
        <w:gridCol w:w="4484"/>
        <w:gridCol w:w="4485"/>
      </w:tblGrid>
      <w:tr w14:paraId="7F82D6C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FFFFFF"/>
          <w:tblCellMar>
            <w:top w:w="0" w:type="dxa"/>
            <w:left w:w="0" w:type="dxa"/>
            <w:bottom w:w="0" w:type="dxa"/>
            <w:right w:w="0" w:type="dxa"/>
          </w:tblCellMar>
        </w:tblPrEx>
        <w:trPr>
          <w:trHeight w:val="2486" w:hRule="atLeast"/>
          <w:jc w:val="center"/>
        </w:trPr>
        <w:tc>
          <w:tcPr>
            <w:tcW w:w="448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494213E5">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法定代表人身份证（人像面）</w:t>
            </w:r>
          </w:p>
        </w:tc>
        <w:tc>
          <w:tcPr>
            <w:tcW w:w="448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1A63BAFA">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法定代表人身份证（国徽面）</w:t>
            </w:r>
          </w:p>
        </w:tc>
      </w:tr>
    </w:tbl>
    <w:p w14:paraId="009FC847">
      <w:pPr>
        <w:spacing w:line="360" w:lineRule="auto"/>
        <w:ind w:firstLine="480"/>
        <w:rPr>
          <w:rFonts w:hint="default" w:ascii="Times New Roman" w:hAnsi="Times New Roman" w:eastAsia="仿宋_GB2312" w:cs="Times New Roman"/>
          <w:color w:val="auto"/>
          <w:sz w:val="28"/>
          <w:szCs w:val="28"/>
          <w:lang w:val="en-US" w:eastAsia="zh-CN"/>
        </w:rPr>
      </w:pPr>
    </w:p>
    <w:p w14:paraId="69A8036D">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注：自然人投标的无需提供。</w:t>
      </w:r>
    </w:p>
    <w:p w14:paraId="6AC2FF4F">
      <w:pPr>
        <w:rPr>
          <w:rFonts w:hint="default" w:ascii="Times New Roman" w:hAnsi="Times New Roman" w:cs="Times New Roman"/>
          <w:color w:val="auto"/>
          <w:lang w:eastAsia="zh-CN"/>
        </w:rPr>
      </w:pPr>
    </w:p>
    <w:p w14:paraId="328034D7">
      <w:pPr>
        <w:pStyle w:val="39"/>
        <w:ind w:left="556" w:hanging="278"/>
        <w:rPr>
          <w:rFonts w:hint="default" w:cs="Times New Roman"/>
          <w:color w:val="auto"/>
          <w:lang w:eastAsia="zh-CN"/>
        </w:rPr>
        <w:sectPr>
          <w:headerReference r:id="rId7" w:type="default"/>
          <w:pgSz w:w="11906" w:h="16838"/>
          <w:pgMar w:top="1440" w:right="1797" w:bottom="1440" w:left="1797" w:header="851" w:footer="992" w:gutter="0"/>
          <w:cols w:space="720" w:num="1"/>
          <w:docGrid w:linePitch="312" w:charSpace="0"/>
        </w:sectPr>
      </w:pPr>
    </w:p>
    <w:p w14:paraId="19F69CBC">
      <w:pPr>
        <w:pStyle w:val="3"/>
        <w:jc w:val="center"/>
        <w:rPr>
          <w:rFonts w:ascii="Times New Roman" w:hAnsi="Times New Roman" w:eastAsia="方正小标宋_GBK"/>
          <w:b w:val="0"/>
          <w:color w:val="auto"/>
          <w:sz w:val="30"/>
          <w:szCs w:val="30"/>
          <w:lang w:val="en-US" w:eastAsia="zh-CN"/>
        </w:rPr>
      </w:pPr>
      <w:bookmarkStart w:id="371" w:name="_Toc1889987960"/>
      <w:bookmarkStart w:id="372" w:name="_Toc1445600282"/>
      <w:bookmarkStart w:id="373" w:name="_Toc807820015"/>
      <w:bookmarkStart w:id="374" w:name="_Toc1306770718"/>
      <w:bookmarkStart w:id="375" w:name="_Toc1179847034"/>
      <w:bookmarkStart w:id="376" w:name="_Toc1562600580"/>
      <w:bookmarkStart w:id="377" w:name="_Toc237482121"/>
      <w:bookmarkStart w:id="378" w:name="_Toc1888555944"/>
      <w:bookmarkStart w:id="379" w:name="_Toc1929226479"/>
      <w:bookmarkStart w:id="380" w:name="_Toc1046173163"/>
      <w:bookmarkStart w:id="381" w:name="_Toc320103337"/>
      <w:bookmarkStart w:id="382" w:name="_Toc374312795"/>
      <w:bookmarkStart w:id="383" w:name="_Toc1255393211"/>
      <w:r>
        <w:rPr>
          <w:rFonts w:ascii="Times New Roman" w:hAnsi="Times New Roman" w:eastAsia="方正小标宋_GBK"/>
          <w:b w:val="0"/>
          <w:color w:val="auto"/>
          <w:sz w:val="30"/>
          <w:szCs w:val="30"/>
          <w:lang w:val="en-US" w:eastAsia="zh-CN"/>
        </w:rPr>
        <w:t>三、</w:t>
      </w:r>
      <w:r>
        <w:rPr>
          <w:rFonts w:ascii="Times New Roman" w:hAnsi="Times New Roman" w:eastAsia="方正小标宋_GBK"/>
          <w:b w:val="0"/>
          <w:color w:val="auto"/>
          <w:sz w:val="30"/>
          <w:szCs w:val="30"/>
          <w:lang w:eastAsia="zh-CN"/>
        </w:rPr>
        <w:t>投标人关联单位的说明</w:t>
      </w:r>
      <w:bookmarkEnd w:id="371"/>
      <w:bookmarkEnd w:id="372"/>
      <w:bookmarkEnd w:id="373"/>
      <w:bookmarkEnd w:id="374"/>
      <w:bookmarkEnd w:id="375"/>
      <w:bookmarkEnd w:id="376"/>
      <w:bookmarkEnd w:id="377"/>
      <w:bookmarkEnd w:id="378"/>
      <w:bookmarkEnd w:id="379"/>
    </w:p>
    <w:p w14:paraId="07F849E4">
      <w:pPr>
        <w:spacing w:before="100" w:after="100" w:line="360" w:lineRule="auto"/>
        <w:ind w:firstLine="420"/>
        <w:jc w:val="left"/>
        <w:rPr>
          <w:rFonts w:hint="default" w:ascii="Times New Roman" w:hAnsi="Times New Roman" w:eastAsia="仿宋_GB2312" w:cs="Times New Roman"/>
          <w:color w:val="auto"/>
          <w:kern w:val="0"/>
          <w:sz w:val="28"/>
          <w:szCs w:val="28"/>
          <w:lang w:eastAsia="zh-CN"/>
        </w:rPr>
      </w:pPr>
    </w:p>
    <w:p w14:paraId="0E1E42A4">
      <w:pPr>
        <w:shd w:val="clear" w:color="auto" w:fill="FFFFFF"/>
        <w:spacing w:line="360" w:lineRule="auto"/>
        <w:ind w:firstLine="480"/>
        <w:jc w:val="left"/>
        <w:rPr>
          <w:rFonts w:hint="default" w:ascii="仿宋_GB2312" w:hAnsi="Times New Roman" w:eastAsia="仿宋_GB2312" w:cs="Times New Roman"/>
          <w:color w:val="auto"/>
          <w:sz w:val="28"/>
          <w:szCs w:val="28"/>
          <w:lang w:val="en-US" w:eastAsia="zh-CN"/>
        </w:rPr>
      </w:pPr>
      <w:r>
        <w:rPr>
          <w:rFonts w:hint="default" w:ascii="Times New Roman" w:hAnsi="Times New Roman" w:eastAsia="仿宋_GB2312" w:cs="Times New Roman"/>
          <w:color w:val="auto"/>
          <w:kern w:val="0"/>
          <w:sz w:val="28"/>
          <w:szCs w:val="28"/>
          <w:lang w:val="en-US" w:eastAsia="zh-CN"/>
        </w:rPr>
        <w:t xml:space="preserve"> </w:t>
      </w:r>
      <w:r>
        <w:rPr>
          <w:rFonts w:ascii="仿宋_GB2312" w:hAnsi="Times New Roman" w:eastAsia="仿宋_GB2312" w:cs="Times New Roman"/>
          <w:color w:val="auto"/>
          <w:sz w:val="28"/>
          <w:szCs w:val="28"/>
          <w:lang w:val="en-US" w:eastAsia="zh-CN"/>
        </w:rPr>
        <w:t>我单位作为本次采购项目的投标人，根据招标文件要求，现郑重承诺如下：</w:t>
      </w:r>
    </w:p>
    <w:p w14:paraId="6977BAD0">
      <w:pPr>
        <w:shd w:val="clear" w:color="auto" w:fill="FFFFFF"/>
        <w:spacing w:line="360" w:lineRule="auto"/>
        <w:ind w:firstLine="480"/>
        <w:jc w:val="left"/>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我单位参加本次招标采购活动，</w:t>
      </w:r>
      <w:r>
        <w:rPr>
          <w:rFonts w:ascii="仿宋_GB2312" w:hAnsi="Times New Roman" w:eastAsia="仿宋_GB2312" w:cs="Times New Roman"/>
          <w:color w:val="auto"/>
          <w:sz w:val="28"/>
          <w:szCs w:val="28"/>
          <w:u w:val="single"/>
          <w:lang w:val="en-US" w:eastAsia="zh-CN"/>
        </w:rPr>
        <w:t xml:space="preserve">       </w:t>
      </w:r>
      <w:r>
        <w:rPr>
          <w:rFonts w:ascii="仿宋_GB2312" w:hAnsi="Times New Roman" w:eastAsia="仿宋_GB2312" w:cs="Times New Roman"/>
          <w:color w:val="auto"/>
          <w:sz w:val="28"/>
          <w:szCs w:val="28"/>
          <w:lang w:val="en-US" w:eastAsia="zh-CN"/>
        </w:rPr>
        <w:t>（填写“存在”或“不存在”）与单位负责人为同一人或者存在直接控股、管理关系的其他投标人参与同一合同项下的投标活动行为。</w:t>
      </w:r>
    </w:p>
    <w:p w14:paraId="5546BD49">
      <w:pPr>
        <w:pStyle w:val="16"/>
        <w:rPr>
          <w:rFonts w:ascii="Times New Roman" w:hAnsi="Times New Roman"/>
          <w:lang w:eastAsia="zh-CN"/>
        </w:rPr>
      </w:pPr>
    </w:p>
    <w:p w14:paraId="006059AE">
      <w:pPr>
        <w:rPr>
          <w:rFonts w:hint="default" w:ascii="Times New Roman" w:hAnsi="Times New Roman" w:cs="Times New Roman"/>
          <w:color w:val="auto"/>
          <w:lang w:eastAsia="zh-CN"/>
        </w:rPr>
      </w:pPr>
    </w:p>
    <w:p w14:paraId="2B94B64B">
      <w:pPr>
        <w:spacing w:before="100" w:after="100" w:line="360" w:lineRule="auto"/>
        <w:ind w:firstLine="420"/>
        <w:jc w:val="left"/>
        <w:rPr>
          <w:rFonts w:hint="default" w:ascii="Times New Roman" w:hAnsi="Times New Roman" w:eastAsia="仿宋_GB2312" w:cs="Times New Roman"/>
          <w:b/>
          <w:bCs/>
          <w:color w:val="auto"/>
          <w:kern w:val="0"/>
          <w:sz w:val="24"/>
          <w:szCs w:val="24"/>
          <w:lang w:eastAsia="zh-CN"/>
        </w:rPr>
      </w:pPr>
      <w:r>
        <w:rPr>
          <w:rFonts w:hint="default" w:ascii="Times New Roman" w:hAnsi="Times New Roman" w:eastAsia="仿宋_GB2312" w:cs="Times New Roman"/>
          <w:b/>
          <w:bCs/>
          <w:color w:val="auto"/>
          <w:kern w:val="0"/>
          <w:sz w:val="24"/>
          <w:szCs w:val="24"/>
          <w:lang w:eastAsia="zh-CN"/>
        </w:rPr>
        <w:t>说明：投标人应当如实披露与本单位存在关联关系的单位名称。</w:t>
      </w:r>
    </w:p>
    <w:p w14:paraId="329B36C4">
      <w:pPr>
        <w:spacing w:before="100" w:after="100" w:line="360" w:lineRule="auto"/>
        <w:jc w:val="left"/>
        <w:rPr>
          <w:rFonts w:hint="default" w:ascii="Times New Roman" w:hAnsi="Times New Roman" w:eastAsia="仿宋_GB2312" w:cs="Times New Roman"/>
          <w:color w:val="auto"/>
          <w:kern w:val="0"/>
          <w:sz w:val="28"/>
          <w:szCs w:val="28"/>
          <w:lang w:eastAsia="zh-CN"/>
        </w:rPr>
      </w:pPr>
    </w:p>
    <w:p w14:paraId="342F883B">
      <w:pPr>
        <w:spacing w:before="100" w:after="100" w:line="360" w:lineRule="auto"/>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 xml:space="preserve">  </w:t>
      </w:r>
    </w:p>
    <w:p w14:paraId="7A2F8494">
      <w:pPr>
        <w:pStyle w:val="16"/>
        <w:rPr>
          <w:rFonts w:ascii="Times New Roman" w:hAnsi="Times New Roman"/>
          <w:lang w:eastAsia="zh-CN"/>
        </w:rPr>
      </w:pPr>
    </w:p>
    <w:p w14:paraId="154C61F8">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69AAEF70">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59C88B13">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32936484">
      <w:pPr>
        <w:spacing w:before="100" w:after="100" w:line="360" w:lineRule="auto"/>
        <w:ind w:firstLine="372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369A3AD1">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2FC0228A">
      <w:pPr>
        <w:pStyle w:val="3"/>
        <w:spacing w:before="140" w:after="140" w:line="360" w:lineRule="auto"/>
        <w:jc w:val="center"/>
        <w:rPr>
          <w:rFonts w:ascii="Times New Roman" w:hAnsi="Times New Roman" w:eastAsia="方正小标宋_GBK"/>
          <w:b w:val="0"/>
          <w:color w:val="auto"/>
          <w:sz w:val="30"/>
          <w:szCs w:val="30"/>
          <w:lang w:eastAsia="zh-CN"/>
        </w:rPr>
      </w:pPr>
      <w:r>
        <w:rPr>
          <w:rFonts w:ascii="Times New Roman" w:hAnsi="Times New Roman"/>
          <w:color w:val="auto"/>
          <w:lang w:eastAsia="zh-CN"/>
        </w:rPr>
        <w:br w:type="page"/>
      </w:r>
      <w:bookmarkStart w:id="384" w:name="_Toc284882205"/>
      <w:r>
        <w:rPr>
          <w:rFonts w:ascii="Times New Roman" w:hAnsi="Times New Roman" w:eastAsia="方正小标宋_GBK"/>
          <w:b w:val="0"/>
          <w:color w:val="auto"/>
          <w:sz w:val="30"/>
          <w:szCs w:val="30"/>
          <w:lang w:eastAsia="zh-CN"/>
        </w:rPr>
        <w:t>四、投标报价表格</w:t>
      </w:r>
      <w:bookmarkEnd w:id="380"/>
      <w:bookmarkEnd w:id="381"/>
      <w:bookmarkEnd w:id="382"/>
      <w:bookmarkEnd w:id="383"/>
      <w:bookmarkEnd w:id="384"/>
    </w:p>
    <w:p w14:paraId="4AE1500E">
      <w:pPr>
        <w:spacing w:after="40" w:line="360" w:lineRule="auto"/>
        <w:jc w:val="center"/>
        <w:outlineLvl w:val="2"/>
        <w:rPr>
          <w:rFonts w:hint="default" w:ascii="Times New Roman" w:hAnsi="Times New Roman" w:eastAsia="黑体" w:cs="Times New Roman"/>
          <w:color w:val="auto"/>
          <w:sz w:val="28"/>
          <w:szCs w:val="28"/>
        </w:rPr>
      </w:pPr>
      <w:bookmarkStart w:id="385" w:name="_Toc562840553"/>
      <w:bookmarkStart w:id="386" w:name="_Toc1289935819"/>
      <w:bookmarkStart w:id="387" w:name="_Toc55824951"/>
      <w:r>
        <w:rPr>
          <w:rFonts w:hint="default" w:ascii="Times New Roman" w:hAnsi="Times New Roman" w:eastAsia="黑体" w:cs="Times New Roman"/>
          <w:color w:val="auto"/>
          <w:sz w:val="28"/>
          <w:szCs w:val="28"/>
        </w:rPr>
        <w:t>1</w:t>
      </w:r>
      <w:r>
        <w:rPr>
          <w:rFonts w:hint="default" w:ascii="Times New Roman" w:hAnsi="Times New Roman" w:eastAsia="黑体" w:cs="Times New Roman"/>
          <w:color w:val="auto"/>
          <w:sz w:val="28"/>
          <w:szCs w:val="28"/>
          <w:lang w:val="en-US" w:eastAsia="zh-CN"/>
        </w:rPr>
        <w:t xml:space="preserve">. </w:t>
      </w:r>
      <w:r>
        <w:rPr>
          <w:rFonts w:hint="default" w:ascii="Times New Roman" w:hAnsi="Times New Roman" w:eastAsia="黑体" w:cs="Times New Roman"/>
          <w:color w:val="auto"/>
          <w:sz w:val="28"/>
          <w:szCs w:val="28"/>
        </w:rPr>
        <w:t>投标主要内容汇总表</w:t>
      </w:r>
      <w:bookmarkEnd w:id="385"/>
      <w:bookmarkEnd w:id="386"/>
      <w:bookmarkEnd w:id="387"/>
    </w:p>
    <w:tbl>
      <w:tblPr>
        <w:tblStyle w:val="51"/>
        <w:tblW w:w="0" w:type="auto"/>
        <w:jc w:val="center"/>
        <w:tblLayout w:type="fixed"/>
        <w:tblCellMar>
          <w:top w:w="0" w:type="dxa"/>
          <w:left w:w="108" w:type="dxa"/>
          <w:bottom w:w="0" w:type="dxa"/>
          <w:right w:w="108" w:type="dxa"/>
        </w:tblCellMar>
      </w:tblPr>
      <w:tblGrid>
        <w:gridCol w:w="5887"/>
        <w:gridCol w:w="2888"/>
      </w:tblGrid>
      <w:tr w14:paraId="3D6715EF">
        <w:tblPrEx>
          <w:tblCellMar>
            <w:top w:w="0" w:type="dxa"/>
            <w:left w:w="108" w:type="dxa"/>
            <w:bottom w:w="0" w:type="dxa"/>
            <w:right w:w="108" w:type="dxa"/>
          </w:tblCellMar>
        </w:tblPrEx>
        <w:trPr>
          <w:jc w:val="center"/>
        </w:trPr>
        <w:tc>
          <w:tcPr>
            <w:tcW w:w="5887" w:type="dxa"/>
          </w:tcPr>
          <w:p w14:paraId="52760888">
            <w:pPr>
              <w:spacing w:line="440" w:lineRule="exact"/>
              <w:rPr>
                <w:rFonts w:hint="default" w:ascii="仿宋_GB2312" w:hAnsi="Times New Roman" w:eastAsia="仿宋_GB2312" w:cs="Times New Roman"/>
                <w:bCs/>
                <w:color w:val="auto"/>
                <w:sz w:val="28"/>
                <w:szCs w:val="28"/>
                <w:lang w:val="en" w:eastAsia="zh-CN"/>
              </w:rPr>
            </w:pPr>
            <w:r>
              <w:rPr>
                <w:rFonts w:ascii="仿宋_GB2312" w:hAnsi="Times New Roman" w:eastAsia="仿宋_GB2312" w:cs="Times New Roman"/>
                <w:bCs/>
                <w:color w:val="auto"/>
                <w:sz w:val="28"/>
                <w:szCs w:val="28"/>
                <w:lang w:eastAsia="zh-CN"/>
              </w:rPr>
              <w:t>采购编号：</w:t>
            </w:r>
            <w:r>
              <w:rPr>
                <w:rFonts w:ascii="仿宋_GB2312" w:hAnsi="Times New Roman" w:eastAsia="仿宋_GB2312" w:cs="Times New Roman"/>
                <w:bCs/>
                <w:color w:val="auto"/>
                <w:sz w:val="28"/>
                <w:szCs w:val="28"/>
                <w:lang w:val="en" w:eastAsia="zh-CN"/>
              </w:rPr>
              <w:t>豫财招标采购-2024-1257</w:t>
            </w:r>
          </w:p>
        </w:tc>
        <w:tc>
          <w:tcPr>
            <w:tcW w:w="2888" w:type="dxa"/>
          </w:tcPr>
          <w:p w14:paraId="757293B2">
            <w:pPr>
              <w:spacing w:line="440" w:lineRule="exact"/>
              <w:rPr>
                <w:rFonts w:hint="default" w:ascii="仿宋_GB2312" w:hAnsi="Times New Roman" w:eastAsia="仿宋_GB2312" w:cs="Times New Roman"/>
                <w:bCs/>
                <w:color w:val="auto"/>
                <w:sz w:val="28"/>
                <w:szCs w:val="28"/>
              </w:rPr>
            </w:pPr>
            <w:r>
              <w:rPr>
                <w:rFonts w:ascii="仿宋_GB2312" w:hAnsi="Times New Roman" w:eastAsia="仿宋_GB2312" w:cs="Times New Roman"/>
                <w:bCs/>
                <w:color w:val="auto"/>
                <w:sz w:val="28"/>
                <w:szCs w:val="28"/>
              </w:rPr>
              <w:t>金额单位：元人民币</w:t>
            </w:r>
          </w:p>
        </w:tc>
      </w:tr>
    </w:tbl>
    <w:p w14:paraId="6EA28997">
      <w:pPr>
        <w:pStyle w:val="16"/>
        <w:spacing w:before="0"/>
        <w:rPr>
          <w:rFonts w:ascii="Times New Roman" w:hAnsi="Times New Roman"/>
          <w:sz w:val="2"/>
          <w:szCs w:val="2"/>
        </w:rPr>
      </w:pPr>
    </w:p>
    <w:tbl>
      <w:tblPr>
        <w:tblStyle w:val="51"/>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940"/>
        <w:gridCol w:w="6850"/>
      </w:tblGrid>
      <w:tr w14:paraId="11EDCB2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87"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F3608D7">
            <w:pPr>
              <w:spacing w:after="0"/>
              <w:jc w:val="center"/>
              <w:rPr>
                <w:rFonts w:hint="default" w:ascii="仿宋_GB2312" w:hAnsi="Times New Roman" w:eastAsia="仿宋_GB2312" w:cs="Times New Roman"/>
                <w:bCs/>
                <w:color w:val="auto"/>
                <w:kern w:val="0"/>
                <w:sz w:val="28"/>
                <w:szCs w:val="28"/>
              </w:rPr>
            </w:pPr>
            <w:r>
              <w:rPr>
                <w:rFonts w:ascii="仿宋_GB2312" w:hAnsi="Times New Roman" w:eastAsia="仿宋_GB2312" w:cs="Times New Roman"/>
                <w:bCs/>
                <w:color w:val="auto"/>
                <w:kern w:val="0"/>
                <w:sz w:val="28"/>
                <w:szCs w:val="28"/>
              </w:rPr>
              <w:t>采购项目</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70611ED">
            <w:pPr>
              <w:spacing w:after="0"/>
              <w:ind w:right="210" w:rightChars="100"/>
              <w:jc w:val="left"/>
              <w:rPr>
                <w:rFonts w:hint="default" w:ascii="仿宋_GB2312" w:hAnsi="Times New Roman" w:eastAsia="仿宋_GB2312" w:cs="Times New Roman"/>
                <w:bCs/>
                <w:color w:val="auto"/>
                <w:kern w:val="0"/>
                <w:sz w:val="28"/>
                <w:szCs w:val="28"/>
                <w:lang w:val="en" w:eastAsia="zh-CN"/>
              </w:rPr>
            </w:pPr>
            <w:r>
              <w:rPr>
                <w:rFonts w:ascii="仿宋_GB2312" w:hAnsi="Times New Roman" w:eastAsia="仿宋_GB2312" w:cs="Times New Roman"/>
                <w:bCs/>
                <w:color w:val="auto"/>
                <w:kern w:val="0"/>
                <w:sz w:val="28"/>
                <w:szCs w:val="28"/>
                <w:lang w:val="en" w:eastAsia="zh-CN"/>
              </w:rPr>
              <w:t>新乡医学院第一附属医院信息化基础设施及安全能力提升项目</w:t>
            </w:r>
          </w:p>
        </w:tc>
      </w:tr>
      <w:tr w14:paraId="417DEFD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916169A">
            <w:pPr>
              <w:spacing w:after="0"/>
              <w:jc w:val="center"/>
              <w:rPr>
                <w:rFonts w:hint="default" w:ascii="仿宋_GB2312" w:hAnsi="Times New Roman" w:eastAsia="仿宋_GB2312" w:cs="Times New Roman"/>
                <w:bCs/>
                <w:color w:val="auto"/>
                <w:kern w:val="0"/>
                <w:sz w:val="28"/>
                <w:szCs w:val="28"/>
              </w:rPr>
            </w:pPr>
            <w:r>
              <w:rPr>
                <w:rFonts w:ascii="仿宋_GB2312" w:hAnsi="Times New Roman" w:eastAsia="仿宋_GB2312" w:cs="Times New Roman"/>
                <w:bCs/>
                <w:color w:val="auto"/>
                <w:kern w:val="0"/>
                <w:sz w:val="28"/>
                <w:szCs w:val="28"/>
              </w:rPr>
              <w:t>投标人名称</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1905D8A">
            <w:pPr>
              <w:spacing w:after="0"/>
              <w:ind w:left="210" w:leftChars="100" w:right="210" w:rightChars="100"/>
              <w:rPr>
                <w:rFonts w:hint="default" w:ascii="仿宋_GB2312" w:hAnsi="Times New Roman" w:eastAsia="仿宋_GB2312" w:cs="Times New Roman"/>
                <w:bCs/>
                <w:color w:val="auto"/>
                <w:kern w:val="0"/>
                <w:sz w:val="28"/>
                <w:szCs w:val="28"/>
              </w:rPr>
            </w:pPr>
          </w:p>
        </w:tc>
      </w:tr>
      <w:tr w14:paraId="43A0F04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6"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458D037">
            <w:pPr>
              <w:spacing w:after="0"/>
              <w:jc w:val="center"/>
              <w:rPr>
                <w:rFonts w:hint="default" w:ascii="仿宋_GB2312" w:hAnsi="Times New Roman" w:eastAsia="仿宋_GB2312" w:cs="Times New Roman"/>
                <w:bCs/>
                <w:color w:val="auto"/>
                <w:kern w:val="0"/>
                <w:sz w:val="28"/>
                <w:szCs w:val="28"/>
              </w:rPr>
            </w:pPr>
            <w:r>
              <w:rPr>
                <w:rFonts w:ascii="仿宋_GB2312" w:hAnsi="Times New Roman" w:eastAsia="仿宋_GB2312" w:cs="Times New Roman"/>
                <w:bCs/>
                <w:color w:val="auto"/>
                <w:kern w:val="0"/>
                <w:sz w:val="28"/>
                <w:szCs w:val="28"/>
              </w:rPr>
              <w:t>投标总报价（大写）</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9BEA59F">
            <w:pPr>
              <w:spacing w:after="0"/>
              <w:ind w:left="210" w:leftChars="100" w:right="210" w:rightChars="100"/>
              <w:jc w:val="center"/>
              <w:rPr>
                <w:rFonts w:hint="default" w:ascii="仿宋_GB2312" w:hAnsi="Times New Roman" w:eastAsia="仿宋_GB2312" w:cs="Times New Roman"/>
                <w:bCs/>
                <w:color w:val="auto"/>
                <w:kern w:val="0"/>
                <w:sz w:val="28"/>
                <w:szCs w:val="28"/>
              </w:rPr>
            </w:pPr>
          </w:p>
        </w:tc>
      </w:tr>
      <w:tr w14:paraId="5F990EE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003581B">
            <w:pPr>
              <w:spacing w:after="0"/>
              <w:jc w:val="center"/>
              <w:rPr>
                <w:rFonts w:hint="default" w:ascii="仿宋_GB2312" w:hAnsi="Times New Roman" w:eastAsia="仿宋_GB2312" w:cs="Times New Roman"/>
                <w:bCs/>
                <w:color w:val="auto"/>
                <w:kern w:val="0"/>
                <w:sz w:val="28"/>
                <w:szCs w:val="28"/>
              </w:rPr>
            </w:pPr>
            <w:r>
              <w:rPr>
                <w:rFonts w:ascii="仿宋_GB2312" w:hAnsi="Times New Roman" w:eastAsia="仿宋_GB2312" w:cs="Times New Roman"/>
                <w:bCs/>
                <w:color w:val="auto"/>
                <w:kern w:val="0"/>
                <w:sz w:val="28"/>
                <w:szCs w:val="28"/>
              </w:rPr>
              <w:t>投标总报价（小写）</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83D55C6">
            <w:pPr>
              <w:spacing w:after="0"/>
              <w:ind w:left="210" w:leftChars="100" w:right="210" w:rightChars="100"/>
              <w:jc w:val="center"/>
              <w:rPr>
                <w:rFonts w:hint="default" w:ascii="仿宋_GB2312" w:hAnsi="Times New Roman" w:eastAsia="仿宋_GB2312" w:cs="Times New Roman"/>
                <w:bCs/>
                <w:color w:val="auto"/>
                <w:kern w:val="0"/>
                <w:sz w:val="28"/>
                <w:szCs w:val="28"/>
              </w:rPr>
            </w:pPr>
          </w:p>
        </w:tc>
      </w:tr>
      <w:tr w14:paraId="0F34588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3637098">
            <w:pPr>
              <w:spacing w:after="0"/>
              <w:jc w:val="center"/>
              <w:rPr>
                <w:rFonts w:hint="default" w:ascii="仿宋_GB2312" w:hAnsi="Times New Roman" w:eastAsia="仿宋_GB2312" w:cs="Times New Roman"/>
                <w:bCs/>
                <w:color w:val="auto"/>
                <w:kern w:val="0"/>
                <w:sz w:val="28"/>
                <w:szCs w:val="28"/>
                <w:lang w:eastAsia="zh-CN"/>
              </w:rPr>
            </w:pPr>
            <w:r>
              <w:rPr>
                <w:rFonts w:ascii="仿宋_GB2312" w:hAnsi="Times New Roman" w:eastAsia="仿宋_GB2312" w:cs="Times New Roman"/>
                <w:bCs/>
                <w:color w:val="auto"/>
                <w:kern w:val="0"/>
                <w:sz w:val="28"/>
                <w:szCs w:val="28"/>
              </w:rPr>
              <w:t>交货期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2716F07">
            <w:pPr>
              <w:spacing w:after="0"/>
              <w:ind w:left="210" w:leftChars="100" w:right="210" w:rightChars="100"/>
              <w:rPr>
                <w:rFonts w:hint="default" w:ascii="仿宋_GB2312" w:hAnsi="Times New Roman" w:eastAsia="仿宋_GB2312" w:cs="Times New Roman"/>
                <w:bCs/>
                <w:color w:val="auto"/>
                <w:kern w:val="0"/>
                <w:sz w:val="28"/>
                <w:szCs w:val="28"/>
                <w:lang w:val="en" w:eastAsia="zh-CN"/>
              </w:rPr>
            </w:pPr>
          </w:p>
        </w:tc>
      </w:tr>
      <w:tr w14:paraId="7CAFCC1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F608D61">
            <w:pPr>
              <w:spacing w:after="0" w:line="360" w:lineRule="auto"/>
              <w:jc w:val="center"/>
              <w:rPr>
                <w:rFonts w:hint="default" w:ascii="仿宋_GB2312" w:hAnsi="Times New Roman" w:eastAsia="仿宋_GB2312" w:cs="Times New Roman"/>
                <w:bCs/>
                <w:color w:val="auto"/>
                <w:kern w:val="0"/>
                <w:sz w:val="28"/>
                <w:szCs w:val="28"/>
              </w:rPr>
            </w:pPr>
            <w:r>
              <w:rPr>
                <w:rFonts w:ascii="仿宋_GB2312" w:hAnsi="Times New Roman" w:eastAsia="仿宋_GB2312" w:cs="Times New Roman"/>
                <w:bCs/>
                <w:color w:val="auto"/>
                <w:sz w:val="28"/>
                <w:szCs w:val="28"/>
              </w:rPr>
              <w:t>交货地点</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61B2491">
            <w:pPr>
              <w:spacing w:after="0" w:line="360" w:lineRule="auto"/>
              <w:ind w:left="210" w:leftChars="100" w:right="210" w:rightChars="100"/>
              <w:jc w:val="left"/>
              <w:rPr>
                <w:rFonts w:hint="default" w:ascii="仿宋_GB2312" w:hAnsi="Times New Roman" w:eastAsia="仿宋_GB2312" w:cs="Times New Roman"/>
                <w:bCs/>
                <w:color w:val="auto"/>
                <w:kern w:val="0"/>
                <w:sz w:val="28"/>
                <w:szCs w:val="28"/>
                <w:lang w:val="en-US" w:eastAsia="zh-CN"/>
              </w:rPr>
            </w:pPr>
            <w:r>
              <w:rPr>
                <w:rFonts w:ascii="仿宋_GB2312" w:hAnsi="Times New Roman" w:eastAsia="仿宋_GB2312" w:cs="Times New Roman"/>
                <w:bCs/>
                <w:color w:val="auto"/>
                <w:kern w:val="0"/>
                <w:sz w:val="28"/>
                <w:szCs w:val="28"/>
                <w:lang w:val="en-US" w:eastAsia="zh-CN"/>
              </w:rPr>
              <w:t>新乡医学院第一附属医院院内（卫辉市健康路88号）</w:t>
            </w:r>
          </w:p>
        </w:tc>
      </w:tr>
      <w:tr w14:paraId="034A696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041E4AA">
            <w:pPr>
              <w:spacing w:after="0" w:line="360" w:lineRule="auto"/>
              <w:jc w:val="center"/>
              <w:rPr>
                <w:rFonts w:hint="default" w:ascii="仿宋_GB2312" w:hAnsi="Times New Roman" w:eastAsia="仿宋_GB2312" w:cs="Times New Roman"/>
                <w:bCs/>
                <w:color w:val="auto"/>
                <w:sz w:val="28"/>
                <w:szCs w:val="28"/>
              </w:rPr>
            </w:pPr>
            <w:r>
              <w:rPr>
                <w:rFonts w:ascii="仿宋_GB2312" w:hAnsi="Times New Roman" w:eastAsia="仿宋_GB2312" w:cs="Times New Roman"/>
                <w:bCs/>
                <w:color w:val="auto"/>
                <w:sz w:val="28"/>
                <w:szCs w:val="28"/>
              </w:rPr>
              <w:t>质量标准</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6C7379A">
            <w:pPr>
              <w:spacing w:after="0" w:line="360" w:lineRule="auto"/>
              <w:ind w:left="210" w:leftChars="100" w:right="210" w:rightChars="100"/>
              <w:jc w:val="left"/>
              <w:rPr>
                <w:rFonts w:hint="default" w:ascii="仿宋_GB2312" w:hAnsi="Times New Roman" w:eastAsia="仿宋_GB2312" w:cs="Times New Roman"/>
                <w:bCs/>
                <w:color w:val="auto"/>
                <w:kern w:val="0"/>
                <w:sz w:val="28"/>
                <w:szCs w:val="28"/>
              </w:rPr>
            </w:pPr>
            <w:r>
              <w:rPr>
                <w:rFonts w:ascii="仿宋_GB2312" w:hAnsi="Times New Roman" w:eastAsia="仿宋_GB2312" w:cs="Times New Roman"/>
                <w:bCs/>
                <w:color w:val="auto"/>
                <w:sz w:val="28"/>
                <w:szCs w:val="28"/>
              </w:rPr>
              <w:t>合格</w:t>
            </w:r>
          </w:p>
        </w:tc>
      </w:tr>
      <w:tr w14:paraId="4A0FEBD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FCD7694">
            <w:pPr>
              <w:spacing w:after="0"/>
              <w:jc w:val="center"/>
              <w:rPr>
                <w:rFonts w:hint="default" w:ascii="仿宋_GB2312" w:hAnsi="Times New Roman" w:eastAsia="仿宋_GB2312" w:cs="Times New Roman"/>
                <w:bCs/>
                <w:color w:val="auto"/>
                <w:kern w:val="0"/>
                <w:sz w:val="28"/>
                <w:szCs w:val="28"/>
              </w:rPr>
            </w:pPr>
            <w:r>
              <w:rPr>
                <w:rFonts w:ascii="仿宋_GB2312" w:hAnsi="Times New Roman" w:eastAsia="仿宋_GB2312" w:cs="Times New Roman"/>
                <w:bCs/>
                <w:color w:val="auto"/>
                <w:kern w:val="0"/>
                <w:sz w:val="28"/>
                <w:szCs w:val="28"/>
              </w:rPr>
              <w:t>质量保证期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0A367FD">
            <w:pPr>
              <w:spacing w:after="0"/>
              <w:ind w:left="210" w:leftChars="100" w:right="210" w:rightChars="100"/>
              <w:rPr>
                <w:rFonts w:hint="default" w:ascii="仿宋_GB2312" w:hAnsi="Times New Roman" w:eastAsia="仿宋_GB2312" w:cs="Times New Roman"/>
                <w:bCs/>
                <w:color w:val="auto"/>
                <w:kern w:val="0"/>
                <w:sz w:val="28"/>
                <w:szCs w:val="28"/>
                <w:lang w:eastAsia="zh-CN"/>
              </w:rPr>
            </w:pPr>
            <w:r>
              <w:rPr>
                <w:rFonts w:ascii="仿宋_GB2312" w:hAnsi="Times New Roman" w:eastAsia="仿宋_GB2312" w:cs="Times New Roman"/>
                <w:color w:val="auto"/>
                <w:sz w:val="28"/>
                <w:szCs w:val="28"/>
                <w:u w:val="single"/>
                <w:lang w:val="en" w:eastAsia="zh-CN"/>
              </w:rPr>
              <w:t xml:space="preserve">   </w:t>
            </w:r>
            <w:r>
              <w:rPr>
                <w:rFonts w:ascii="仿宋_GB2312" w:hAnsi="Times New Roman" w:eastAsia="仿宋_GB2312" w:cs="Times New Roman"/>
                <w:color w:val="auto"/>
                <w:sz w:val="28"/>
                <w:szCs w:val="28"/>
                <w:lang w:eastAsia="zh-CN"/>
              </w:rPr>
              <w:t>年，从验收合格之日起开始计算</w:t>
            </w:r>
          </w:p>
        </w:tc>
      </w:tr>
      <w:tr w14:paraId="0F1461F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7E6CE66">
            <w:pPr>
              <w:spacing w:after="0"/>
              <w:jc w:val="center"/>
              <w:rPr>
                <w:rFonts w:hint="default" w:ascii="仿宋_GB2312" w:hAnsi="Times New Roman" w:eastAsia="仿宋_GB2312" w:cs="Times New Roman"/>
                <w:bCs/>
                <w:color w:val="auto"/>
                <w:kern w:val="0"/>
                <w:sz w:val="28"/>
                <w:szCs w:val="28"/>
              </w:rPr>
            </w:pPr>
            <w:r>
              <w:rPr>
                <w:rFonts w:ascii="仿宋_GB2312" w:hAnsi="Times New Roman" w:eastAsia="仿宋_GB2312" w:cs="Times New Roman"/>
                <w:bCs/>
                <w:color w:val="auto"/>
                <w:kern w:val="0"/>
                <w:sz w:val="28"/>
                <w:szCs w:val="28"/>
              </w:rPr>
              <w:t>投标保证金</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1955803">
            <w:pPr>
              <w:spacing w:after="0"/>
              <w:ind w:left="210" w:leftChars="100" w:right="210" w:rightChars="100"/>
              <w:rPr>
                <w:rFonts w:hint="default" w:ascii="仿宋_GB2312" w:hAnsi="Times New Roman" w:eastAsia="仿宋_GB2312" w:cs="Times New Roman"/>
                <w:bCs/>
                <w:color w:val="auto"/>
                <w:kern w:val="0"/>
                <w:sz w:val="28"/>
                <w:szCs w:val="28"/>
                <w:lang w:eastAsia="zh-CN"/>
              </w:rPr>
            </w:pPr>
            <w:r>
              <w:rPr>
                <w:rFonts w:ascii="仿宋_GB2312" w:hAnsi="Times New Roman" w:eastAsia="仿宋_GB2312" w:cs="Times New Roman"/>
                <w:bCs/>
                <w:color w:val="auto"/>
                <w:kern w:val="0"/>
                <w:sz w:val="28"/>
                <w:szCs w:val="28"/>
              </w:rPr>
              <w:t>0元</w:t>
            </w:r>
          </w:p>
        </w:tc>
      </w:tr>
      <w:tr w14:paraId="587FC5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1BF5DE3">
            <w:pPr>
              <w:spacing w:after="0"/>
              <w:jc w:val="center"/>
              <w:rPr>
                <w:rFonts w:hint="default" w:ascii="仿宋_GB2312" w:hAnsi="Times New Roman" w:eastAsia="仿宋_GB2312" w:cs="Times New Roman"/>
                <w:bCs/>
                <w:color w:val="auto"/>
                <w:kern w:val="0"/>
                <w:sz w:val="28"/>
                <w:szCs w:val="28"/>
              </w:rPr>
            </w:pPr>
            <w:r>
              <w:rPr>
                <w:rFonts w:ascii="仿宋_GB2312" w:hAnsi="Times New Roman" w:eastAsia="仿宋_GB2312" w:cs="Times New Roman"/>
                <w:bCs/>
                <w:color w:val="auto"/>
                <w:kern w:val="0"/>
                <w:sz w:val="28"/>
                <w:szCs w:val="28"/>
              </w:rPr>
              <w:t>投标有效期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AF733DA">
            <w:pPr>
              <w:spacing w:after="0"/>
              <w:ind w:left="210" w:leftChars="100" w:right="210" w:rightChars="100"/>
              <w:rPr>
                <w:rFonts w:hint="default" w:ascii="仿宋_GB2312" w:hAnsi="Times New Roman" w:eastAsia="仿宋_GB2312" w:cs="Times New Roman"/>
                <w:bCs/>
                <w:color w:val="auto"/>
                <w:kern w:val="0"/>
                <w:sz w:val="28"/>
                <w:szCs w:val="28"/>
                <w:lang w:eastAsia="zh-CN"/>
              </w:rPr>
            </w:pPr>
            <w:r>
              <w:rPr>
                <w:rFonts w:ascii="仿宋_GB2312" w:hAnsi="Times New Roman" w:eastAsia="仿宋_GB2312" w:cs="Times New Roman"/>
                <w:color w:val="auto"/>
                <w:sz w:val="28"/>
                <w:szCs w:val="28"/>
              </w:rPr>
              <w:t>从投标截止之日起60天</w:t>
            </w:r>
          </w:p>
        </w:tc>
      </w:tr>
      <w:tr w14:paraId="73B8EF2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36FE3DB">
            <w:pPr>
              <w:spacing w:after="0" w:line="360" w:lineRule="auto"/>
              <w:jc w:val="center"/>
              <w:rPr>
                <w:rFonts w:hint="default" w:ascii="仿宋_GB2312" w:hAnsi="Times New Roman" w:eastAsia="仿宋_GB2312" w:cs="Times New Roman"/>
                <w:bCs/>
                <w:color w:val="auto"/>
                <w:kern w:val="0"/>
                <w:sz w:val="28"/>
                <w:szCs w:val="28"/>
              </w:rPr>
            </w:pPr>
            <w:r>
              <w:rPr>
                <w:rFonts w:ascii="仿宋_GB2312" w:hAnsi="Times New Roman" w:eastAsia="仿宋_GB2312" w:cs="Times New Roman"/>
                <w:bCs/>
                <w:color w:val="auto"/>
                <w:sz w:val="28"/>
                <w:szCs w:val="28"/>
              </w:rPr>
              <w:t>付款方式</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E4B5134">
            <w:pPr>
              <w:spacing w:after="0" w:line="360" w:lineRule="auto"/>
              <w:ind w:left="210" w:leftChars="100" w:right="210" w:rightChars="100"/>
              <w:jc w:val="left"/>
              <w:rPr>
                <w:rFonts w:hint="default" w:ascii="仿宋_GB2312" w:hAnsi="Times New Roman" w:eastAsia="仿宋_GB2312" w:cs="Times New Roman"/>
                <w:color w:val="auto"/>
                <w:sz w:val="28"/>
                <w:szCs w:val="28"/>
              </w:rPr>
            </w:pPr>
            <w:r>
              <w:rPr>
                <w:rFonts w:ascii="仿宋_GB2312" w:hAnsi="Times New Roman" w:eastAsia="仿宋_GB2312" w:cs="Times New Roman"/>
                <w:bCs/>
                <w:color w:val="auto"/>
                <w:sz w:val="28"/>
                <w:szCs w:val="28"/>
              </w:rPr>
              <w:t>满足招标文件要求</w:t>
            </w:r>
          </w:p>
        </w:tc>
      </w:tr>
      <w:tr w14:paraId="360F626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3B3E85B">
            <w:pPr>
              <w:spacing w:after="0" w:line="360" w:lineRule="auto"/>
              <w:jc w:val="center"/>
              <w:rPr>
                <w:rFonts w:hint="default" w:ascii="仿宋_GB2312" w:hAnsi="Times New Roman" w:eastAsia="仿宋_GB2312" w:cs="Times New Roman"/>
                <w:bCs/>
                <w:color w:val="auto"/>
                <w:kern w:val="0"/>
                <w:sz w:val="28"/>
                <w:szCs w:val="28"/>
              </w:rPr>
            </w:pPr>
            <w:r>
              <w:rPr>
                <w:rFonts w:ascii="仿宋_GB2312" w:hAnsi="Times New Roman" w:eastAsia="仿宋_GB2312" w:cs="Times New Roman"/>
                <w:bCs/>
                <w:color w:val="auto"/>
                <w:sz w:val="28"/>
                <w:szCs w:val="28"/>
              </w:rPr>
              <w:t>合同条款</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6D116D0">
            <w:pPr>
              <w:spacing w:after="0" w:line="360" w:lineRule="auto"/>
              <w:ind w:left="210" w:leftChars="100" w:right="210" w:rightChars="100"/>
              <w:jc w:val="left"/>
              <w:rPr>
                <w:rFonts w:hint="default" w:ascii="仿宋_GB2312" w:hAnsi="Times New Roman" w:eastAsia="仿宋_GB2312" w:cs="Times New Roman"/>
                <w:color w:val="auto"/>
                <w:sz w:val="28"/>
                <w:szCs w:val="28"/>
              </w:rPr>
            </w:pPr>
            <w:r>
              <w:rPr>
                <w:rFonts w:ascii="仿宋_GB2312" w:hAnsi="Times New Roman" w:eastAsia="仿宋_GB2312" w:cs="Times New Roman"/>
                <w:bCs/>
                <w:color w:val="auto"/>
                <w:sz w:val="28"/>
                <w:szCs w:val="28"/>
              </w:rPr>
              <w:t>满足招标文件要求</w:t>
            </w:r>
          </w:p>
        </w:tc>
      </w:tr>
      <w:tr w14:paraId="488DC69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1598CA5">
            <w:pPr>
              <w:spacing w:after="0"/>
              <w:jc w:val="center"/>
              <w:rPr>
                <w:rFonts w:hint="default" w:ascii="仿宋_GB2312" w:hAnsi="Times New Roman" w:eastAsia="仿宋_GB2312" w:cs="Times New Roman"/>
                <w:bCs/>
                <w:color w:val="auto"/>
                <w:kern w:val="0"/>
                <w:sz w:val="28"/>
                <w:szCs w:val="28"/>
              </w:rPr>
            </w:pPr>
            <w:r>
              <w:rPr>
                <w:rFonts w:ascii="仿宋_GB2312" w:hAnsi="Times New Roman" w:eastAsia="仿宋_GB2312" w:cs="Times New Roman"/>
                <w:bCs/>
                <w:color w:val="auto"/>
                <w:kern w:val="0"/>
                <w:sz w:val="28"/>
                <w:szCs w:val="28"/>
              </w:rPr>
              <w:t>其他声明</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F6E3CBA">
            <w:pPr>
              <w:spacing w:after="0"/>
              <w:ind w:left="210" w:leftChars="100" w:right="210" w:rightChars="100"/>
              <w:rPr>
                <w:rFonts w:hint="default" w:ascii="仿宋_GB2312" w:hAnsi="Times New Roman" w:eastAsia="仿宋_GB2312" w:cs="Times New Roman"/>
                <w:bCs/>
                <w:color w:val="auto"/>
                <w:kern w:val="0"/>
                <w:sz w:val="28"/>
                <w:szCs w:val="28"/>
              </w:rPr>
            </w:pPr>
          </w:p>
        </w:tc>
      </w:tr>
    </w:tbl>
    <w:p w14:paraId="79EBD79B">
      <w:pPr>
        <w:widowControl w:val="0"/>
        <w:jc w:val="center"/>
        <w:rPr>
          <w:rFonts w:hint="default" w:ascii="Times New Roman" w:hAnsi="Times New Roman" w:eastAsia="仿宋_GB2312" w:cs="Times New Roman"/>
          <w:color w:val="auto"/>
          <w:sz w:val="28"/>
          <w:szCs w:val="28"/>
        </w:rPr>
      </w:pPr>
    </w:p>
    <w:p w14:paraId="12B5D9BE">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投标人（企业电子签章）：</w:t>
      </w:r>
    </w:p>
    <w:p w14:paraId="1EA7227D">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法定代表人（个人电子签章）：</w:t>
      </w:r>
    </w:p>
    <w:p w14:paraId="6F9ADF99">
      <w:pPr>
        <w:pStyle w:val="4"/>
        <w:spacing w:before="0" w:after="0" w:line="360" w:lineRule="auto"/>
        <w:jc w:val="center"/>
        <w:rPr>
          <w:rFonts w:ascii="Times New Roman" w:hAnsi="Times New Roman" w:eastAsia="黑体"/>
          <w:color w:val="auto"/>
          <w:kern w:val="2"/>
          <w:sz w:val="28"/>
          <w:szCs w:val="28"/>
          <w:lang w:val="en-US" w:eastAsia="zh-CN"/>
        </w:rPr>
        <w:sectPr>
          <w:headerReference r:id="rId8" w:type="default"/>
          <w:footerReference r:id="rId9" w:type="default"/>
          <w:pgSz w:w="11900" w:h="16840"/>
          <w:pgMar w:top="1440" w:right="1800" w:bottom="1440" w:left="1800" w:header="851" w:footer="992" w:gutter="0"/>
          <w:cols w:space="720" w:num="1"/>
        </w:sectPr>
      </w:pPr>
      <w:bookmarkStart w:id="388" w:name="_Toc1752312956"/>
      <w:bookmarkStart w:id="389" w:name="_Toc1901647701"/>
      <w:bookmarkStart w:id="390" w:name="_Toc145274497"/>
      <w:bookmarkStart w:id="391" w:name="_Toc1593252031"/>
    </w:p>
    <w:p w14:paraId="19FBF86C">
      <w:pPr>
        <w:pStyle w:val="4"/>
        <w:spacing w:before="0" w:after="0" w:line="360" w:lineRule="auto"/>
        <w:jc w:val="center"/>
        <w:rPr>
          <w:rFonts w:ascii="Times New Roman" w:hAnsi="Times New Roman" w:eastAsia="黑体"/>
          <w:color w:val="auto"/>
          <w:kern w:val="2"/>
          <w:sz w:val="28"/>
          <w:szCs w:val="28"/>
        </w:rPr>
      </w:pPr>
      <w:bookmarkStart w:id="392" w:name="_Toc517460750"/>
      <w:bookmarkStart w:id="393" w:name="_Toc842364303"/>
      <w:bookmarkStart w:id="394" w:name="_Toc2036135302"/>
      <w:r>
        <w:rPr>
          <w:rFonts w:ascii="Times New Roman" w:hAnsi="Times New Roman" w:eastAsia="黑体"/>
          <w:color w:val="auto"/>
          <w:kern w:val="2"/>
          <w:sz w:val="28"/>
          <w:szCs w:val="28"/>
          <w:lang w:val="en-US" w:eastAsia="zh-CN"/>
        </w:rPr>
        <w:t>2.</w:t>
      </w:r>
      <w:r>
        <w:rPr>
          <w:rFonts w:ascii="Times New Roman" w:hAnsi="Times New Roman" w:eastAsia="黑体"/>
          <w:color w:val="auto"/>
          <w:kern w:val="2"/>
          <w:sz w:val="28"/>
          <w:szCs w:val="28"/>
          <w:lang w:val="en"/>
        </w:rPr>
        <w:t xml:space="preserve"> </w:t>
      </w:r>
      <w:r>
        <w:rPr>
          <w:rFonts w:ascii="Times New Roman" w:hAnsi="Times New Roman" w:eastAsia="黑体"/>
          <w:color w:val="auto"/>
          <w:kern w:val="2"/>
          <w:sz w:val="28"/>
          <w:szCs w:val="28"/>
        </w:rPr>
        <w:t>投标分项报价表</w:t>
      </w:r>
      <w:bookmarkEnd w:id="360"/>
      <w:bookmarkEnd w:id="361"/>
      <w:bookmarkEnd w:id="388"/>
      <w:bookmarkEnd w:id="389"/>
      <w:bookmarkEnd w:id="390"/>
      <w:bookmarkEnd w:id="391"/>
      <w:bookmarkEnd w:id="392"/>
      <w:bookmarkEnd w:id="393"/>
      <w:bookmarkEnd w:id="394"/>
    </w:p>
    <w:bookmarkEnd w:id="362"/>
    <w:bookmarkEnd w:id="363"/>
    <w:bookmarkEnd w:id="364"/>
    <w:bookmarkEnd w:id="365"/>
    <w:tbl>
      <w:tblPr>
        <w:tblStyle w:val="51"/>
        <w:tblpPr w:leftFromText="180" w:rightFromText="180" w:vertAnchor="text" w:horzAnchor="page" w:tblpX="1655" w:tblpY="566"/>
        <w:tblOverlap w:val="never"/>
        <w:tblW w:w="0" w:type="auto"/>
        <w:tblInd w:w="0" w:type="dxa"/>
        <w:tblLayout w:type="fixed"/>
        <w:tblCellMar>
          <w:top w:w="0" w:type="dxa"/>
          <w:left w:w="108" w:type="dxa"/>
          <w:bottom w:w="0" w:type="dxa"/>
          <w:right w:w="108" w:type="dxa"/>
        </w:tblCellMar>
      </w:tblPr>
      <w:tblGrid>
        <w:gridCol w:w="10762"/>
        <w:gridCol w:w="2963"/>
      </w:tblGrid>
      <w:tr w14:paraId="73B5A90B">
        <w:tblPrEx>
          <w:tblCellMar>
            <w:top w:w="0" w:type="dxa"/>
            <w:left w:w="108" w:type="dxa"/>
            <w:bottom w:w="0" w:type="dxa"/>
            <w:right w:w="108" w:type="dxa"/>
          </w:tblCellMar>
        </w:tblPrEx>
        <w:tc>
          <w:tcPr>
            <w:tcW w:w="10762" w:type="dxa"/>
          </w:tcPr>
          <w:p w14:paraId="0E9E3251">
            <w:pPr>
              <w:spacing w:line="440" w:lineRule="exact"/>
              <w:rPr>
                <w:rFonts w:hint="default" w:ascii="仿宋_GB2312" w:hAnsi="Times New Roman" w:eastAsia="仿宋_GB2312" w:cs="Times New Roman"/>
                <w:bCs/>
                <w:color w:val="auto"/>
                <w:sz w:val="28"/>
                <w:szCs w:val="28"/>
                <w:lang w:val="en" w:eastAsia="zh-CN"/>
              </w:rPr>
            </w:pPr>
            <w:r>
              <w:rPr>
                <w:rFonts w:ascii="仿宋_GB2312" w:hAnsi="Times New Roman" w:eastAsia="仿宋_GB2312" w:cs="Times New Roman"/>
                <w:bCs/>
                <w:color w:val="auto"/>
                <w:sz w:val="28"/>
                <w:szCs w:val="28"/>
                <w:lang w:eastAsia="zh-CN"/>
              </w:rPr>
              <w:t>采购编号：</w:t>
            </w:r>
            <w:r>
              <w:rPr>
                <w:rFonts w:ascii="仿宋_GB2312" w:hAnsi="Times New Roman" w:eastAsia="仿宋_GB2312" w:cs="Times New Roman"/>
                <w:bCs/>
                <w:color w:val="auto"/>
                <w:sz w:val="28"/>
                <w:szCs w:val="28"/>
                <w:lang w:val="en" w:eastAsia="zh-CN"/>
              </w:rPr>
              <w:t>豫财招标采购-2024-1257</w:t>
            </w:r>
          </w:p>
        </w:tc>
        <w:tc>
          <w:tcPr>
            <w:tcW w:w="2963" w:type="dxa"/>
          </w:tcPr>
          <w:p w14:paraId="1A3DDB1E">
            <w:pPr>
              <w:spacing w:line="440" w:lineRule="exact"/>
              <w:rPr>
                <w:rFonts w:hint="default" w:ascii="仿宋_GB2312" w:hAnsi="Times New Roman" w:eastAsia="仿宋_GB2312" w:cs="Times New Roman"/>
                <w:bCs/>
                <w:color w:val="auto"/>
                <w:sz w:val="28"/>
                <w:szCs w:val="28"/>
              </w:rPr>
            </w:pPr>
            <w:r>
              <w:rPr>
                <w:rFonts w:ascii="仿宋_GB2312" w:hAnsi="Times New Roman" w:eastAsia="仿宋_GB2312" w:cs="Times New Roman"/>
                <w:bCs/>
                <w:color w:val="auto"/>
                <w:sz w:val="28"/>
                <w:szCs w:val="28"/>
              </w:rPr>
              <w:t>金额单位：元人民币</w:t>
            </w:r>
          </w:p>
        </w:tc>
      </w:tr>
    </w:tbl>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691"/>
        <w:gridCol w:w="1208"/>
        <w:gridCol w:w="1641"/>
        <w:gridCol w:w="1504"/>
        <w:gridCol w:w="1002"/>
        <w:gridCol w:w="1890"/>
        <w:gridCol w:w="937"/>
        <w:gridCol w:w="1094"/>
        <w:gridCol w:w="1100"/>
      </w:tblGrid>
      <w:tr w14:paraId="00B1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8" w:type="dxa"/>
            <w:vAlign w:val="center"/>
          </w:tcPr>
          <w:p w14:paraId="203D5D79">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序号</w:t>
            </w:r>
          </w:p>
        </w:tc>
        <w:tc>
          <w:tcPr>
            <w:tcW w:w="2691" w:type="dxa"/>
            <w:vAlign w:val="center"/>
          </w:tcPr>
          <w:p w14:paraId="77C2E74E">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名称</w:t>
            </w:r>
          </w:p>
        </w:tc>
        <w:tc>
          <w:tcPr>
            <w:tcW w:w="1208" w:type="dxa"/>
            <w:vAlign w:val="center"/>
          </w:tcPr>
          <w:p w14:paraId="113D3B48">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品牌</w:t>
            </w:r>
          </w:p>
        </w:tc>
        <w:tc>
          <w:tcPr>
            <w:tcW w:w="1641" w:type="dxa"/>
            <w:vAlign w:val="center"/>
          </w:tcPr>
          <w:p w14:paraId="7C2A5ED2">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型号和规格</w:t>
            </w:r>
          </w:p>
        </w:tc>
        <w:tc>
          <w:tcPr>
            <w:tcW w:w="1504" w:type="dxa"/>
            <w:vAlign w:val="center"/>
          </w:tcPr>
          <w:p w14:paraId="43441CCC">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数量</w:t>
            </w:r>
          </w:p>
        </w:tc>
        <w:tc>
          <w:tcPr>
            <w:tcW w:w="1002" w:type="dxa"/>
            <w:vAlign w:val="center"/>
          </w:tcPr>
          <w:p w14:paraId="301EA116">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原产地</w:t>
            </w:r>
          </w:p>
        </w:tc>
        <w:tc>
          <w:tcPr>
            <w:tcW w:w="1890" w:type="dxa"/>
            <w:vAlign w:val="center"/>
          </w:tcPr>
          <w:p w14:paraId="51430425">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制造商（服务商）名称</w:t>
            </w:r>
          </w:p>
        </w:tc>
        <w:tc>
          <w:tcPr>
            <w:tcW w:w="937" w:type="dxa"/>
            <w:vAlign w:val="center"/>
          </w:tcPr>
          <w:p w14:paraId="43D2B40F">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单价</w:t>
            </w:r>
          </w:p>
        </w:tc>
        <w:tc>
          <w:tcPr>
            <w:tcW w:w="1094" w:type="dxa"/>
            <w:vAlign w:val="center"/>
          </w:tcPr>
          <w:p w14:paraId="5746CC8C">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总价</w:t>
            </w:r>
          </w:p>
        </w:tc>
        <w:tc>
          <w:tcPr>
            <w:tcW w:w="1100" w:type="dxa"/>
            <w:vAlign w:val="center"/>
          </w:tcPr>
          <w:p w14:paraId="357E133B">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备注</w:t>
            </w:r>
          </w:p>
        </w:tc>
      </w:tr>
      <w:tr w14:paraId="0127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88" w:type="dxa"/>
            <w:vAlign w:val="center"/>
          </w:tcPr>
          <w:p w14:paraId="42DB7149">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1</w:t>
            </w:r>
          </w:p>
        </w:tc>
        <w:tc>
          <w:tcPr>
            <w:tcW w:w="2691" w:type="dxa"/>
            <w:vAlign w:val="center"/>
          </w:tcPr>
          <w:p w14:paraId="72655EBD">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货物名称</w:t>
            </w:r>
          </w:p>
        </w:tc>
        <w:tc>
          <w:tcPr>
            <w:tcW w:w="1208" w:type="dxa"/>
          </w:tcPr>
          <w:p w14:paraId="46B37645">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641" w:type="dxa"/>
            <w:vAlign w:val="center"/>
          </w:tcPr>
          <w:p w14:paraId="33F2A251">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504" w:type="dxa"/>
            <w:vAlign w:val="center"/>
          </w:tcPr>
          <w:p w14:paraId="0193F4EC">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002" w:type="dxa"/>
            <w:vAlign w:val="center"/>
          </w:tcPr>
          <w:p w14:paraId="4A614383">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890" w:type="dxa"/>
            <w:vAlign w:val="center"/>
          </w:tcPr>
          <w:p w14:paraId="2FFF3D56">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937" w:type="dxa"/>
            <w:vAlign w:val="center"/>
          </w:tcPr>
          <w:p w14:paraId="25BD23DB">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094" w:type="dxa"/>
            <w:vAlign w:val="center"/>
          </w:tcPr>
          <w:p w14:paraId="0AD7D838">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100" w:type="dxa"/>
            <w:vAlign w:val="center"/>
          </w:tcPr>
          <w:p w14:paraId="2BDF5348">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r>
      <w:tr w14:paraId="3652F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29C46425">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2</w:t>
            </w:r>
          </w:p>
        </w:tc>
        <w:tc>
          <w:tcPr>
            <w:tcW w:w="2691" w:type="dxa"/>
            <w:vAlign w:val="center"/>
          </w:tcPr>
          <w:p w14:paraId="2A502A11">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备品备件</w:t>
            </w:r>
          </w:p>
        </w:tc>
        <w:tc>
          <w:tcPr>
            <w:tcW w:w="1208" w:type="dxa"/>
          </w:tcPr>
          <w:p w14:paraId="6E80C1CA">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641" w:type="dxa"/>
            <w:vAlign w:val="center"/>
          </w:tcPr>
          <w:p w14:paraId="479F1CFC">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504" w:type="dxa"/>
            <w:vAlign w:val="center"/>
          </w:tcPr>
          <w:p w14:paraId="02AC0A6D">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002" w:type="dxa"/>
            <w:vAlign w:val="center"/>
          </w:tcPr>
          <w:p w14:paraId="0E04C22F">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890" w:type="dxa"/>
            <w:vAlign w:val="center"/>
          </w:tcPr>
          <w:p w14:paraId="0108B0BC">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937" w:type="dxa"/>
            <w:vAlign w:val="center"/>
          </w:tcPr>
          <w:p w14:paraId="2A9E184E">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094" w:type="dxa"/>
            <w:vAlign w:val="center"/>
          </w:tcPr>
          <w:p w14:paraId="7623E24D">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100" w:type="dxa"/>
            <w:vAlign w:val="center"/>
          </w:tcPr>
          <w:p w14:paraId="666BCB95">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r>
      <w:tr w14:paraId="4EA2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vAlign w:val="center"/>
          </w:tcPr>
          <w:p w14:paraId="4A43BBC1">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3</w:t>
            </w:r>
          </w:p>
        </w:tc>
        <w:tc>
          <w:tcPr>
            <w:tcW w:w="2691" w:type="dxa"/>
            <w:vAlign w:val="center"/>
          </w:tcPr>
          <w:p w14:paraId="0858123E">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专用工具</w:t>
            </w:r>
          </w:p>
        </w:tc>
        <w:tc>
          <w:tcPr>
            <w:tcW w:w="1208" w:type="dxa"/>
          </w:tcPr>
          <w:p w14:paraId="73DCEAD3">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641" w:type="dxa"/>
            <w:vAlign w:val="center"/>
          </w:tcPr>
          <w:p w14:paraId="5698ACAC">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504" w:type="dxa"/>
            <w:vAlign w:val="center"/>
          </w:tcPr>
          <w:p w14:paraId="390A92AD">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002" w:type="dxa"/>
            <w:vAlign w:val="center"/>
          </w:tcPr>
          <w:p w14:paraId="001D58B9">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890" w:type="dxa"/>
            <w:vAlign w:val="center"/>
          </w:tcPr>
          <w:p w14:paraId="2BFDDF17">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937" w:type="dxa"/>
            <w:vAlign w:val="center"/>
          </w:tcPr>
          <w:p w14:paraId="2D9F8063">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094" w:type="dxa"/>
            <w:vAlign w:val="center"/>
          </w:tcPr>
          <w:p w14:paraId="498E969B">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100" w:type="dxa"/>
            <w:vAlign w:val="center"/>
          </w:tcPr>
          <w:p w14:paraId="2924341A">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r>
      <w:tr w14:paraId="69212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58611F88">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4</w:t>
            </w:r>
          </w:p>
        </w:tc>
        <w:tc>
          <w:tcPr>
            <w:tcW w:w="2691" w:type="dxa"/>
            <w:vAlign w:val="center"/>
          </w:tcPr>
          <w:p w14:paraId="6E3B9081">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运输（含保险）</w:t>
            </w:r>
          </w:p>
        </w:tc>
        <w:tc>
          <w:tcPr>
            <w:tcW w:w="1208" w:type="dxa"/>
          </w:tcPr>
          <w:p w14:paraId="25354EC9">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641" w:type="dxa"/>
            <w:vAlign w:val="center"/>
          </w:tcPr>
          <w:p w14:paraId="4E788573">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504" w:type="dxa"/>
            <w:vAlign w:val="center"/>
          </w:tcPr>
          <w:p w14:paraId="24598A5A">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002" w:type="dxa"/>
            <w:vAlign w:val="center"/>
          </w:tcPr>
          <w:p w14:paraId="1E1DCF9F">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890" w:type="dxa"/>
            <w:vAlign w:val="center"/>
          </w:tcPr>
          <w:p w14:paraId="0221F983">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937" w:type="dxa"/>
            <w:vAlign w:val="center"/>
          </w:tcPr>
          <w:p w14:paraId="58BC8BCB">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094" w:type="dxa"/>
            <w:vAlign w:val="center"/>
          </w:tcPr>
          <w:p w14:paraId="268E51A0">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100" w:type="dxa"/>
            <w:vAlign w:val="center"/>
          </w:tcPr>
          <w:p w14:paraId="7BAF154C">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r>
      <w:tr w14:paraId="5736B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5CBBEBEC">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5</w:t>
            </w:r>
          </w:p>
        </w:tc>
        <w:tc>
          <w:tcPr>
            <w:tcW w:w="2691" w:type="dxa"/>
            <w:vAlign w:val="center"/>
          </w:tcPr>
          <w:p w14:paraId="6C867DA0">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安装、调试、检验</w:t>
            </w:r>
          </w:p>
        </w:tc>
        <w:tc>
          <w:tcPr>
            <w:tcW w:w="1208" w:type="dxa"/>
          </w:tcPr>
          <w:p w14:paraId="25E05E86">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641" w:type="dxa"/>
            <w:vAlign w:val="center"/>
          </w:tcPr>
          <w:p w14:paraId="40A8A9B5">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504" w:type="dxa"/>
            <w:vAlign w:val="center"/>
          </w:tcPr>
          <w:p w14:paraId="532FF0D5">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002" w:type="dxa"/>
            <w:vAlign w:val="center"/>
          </w:tcPr>
          <w:p w14:paraId="4AD540D2">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890" w:type="dxa"/>
            <w:vAlign w:val="center"/>
          </w:tcPr>
          <w:p w14:paraId="3EEA3030">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937" w:type="dxa"/>
            <w:vAlign w:val="center"/>
          </w:tcPr>
          <w:p w14:paraId="0515F7E4">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094" w:type="dxa"/>
            <w:vAlign w:val="center"/>
          </w:tcPr>
          <w:p w14:paraId="51C12FAA">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100" w:type="dxa"/>
            <w:vAlign w:val="center"/>
          </w:tcPr>
          <w:p w14:paraId="30020771">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r>
      <w:tr w14:paraId="6DF4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88" w:type="dxa"/>
            <w:vAlign w:val="center"/>
          </w:tcPr>
          <w:p w14:paraId="48896DE6">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6</w:t>
            </w:r>
          </w:p>
        </w:tc>
        <w:tc>
          <w:tcPr>
            <w:tcW w:w="2691" w:type="dxa"/>
            <w:vAlign w:val="center"/>
          </w:tcPr>
          <w:p w14:paraId="44D8AB9A">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培训</w:t>
            </w:r>
          </w:p>
        </w:tc>
        <w:tc>
          <w:tcPr>
            <w:tcW w:w="1208" w:type="dxa"/>
          </w:tcPr>
          <w:p w14:paraId="5B035994">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641" w:type="dxa"/>
            <w:vAlign w:val="center"/>
          </w:tcPr>
          <w:p w14:paraId="45255BA1">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504" w:type="dxa"/>
            <w:vAlign w:val="center"/>
          </w:tcPr>
          <w:p w14:paraId="2109B5CC">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002" w:type="dxa"/>
            <w:vAlign w:val="center"/>
          </w:tcPr>
          <w:p w14:paraId="2101B141">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890" w:type="dxa"/>
            <w:vAlign w:val="center"/>
          </w:tcPr>
          <w:p w14:paraId="6066C3BF">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937" w:type="dxa"/>
            <w:vAlign w:val="center"/>
          </w:tcPr>
          <w:p w14:paraId="10B14CD5">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094" w:type="dxa"/>
            <w:vAlign w:val="center"/>
          </w:tcPr>
          <w:p w14:paraId="5B090A05">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100" w:type="dxa"/>
            <w:vAlign w:val="center"/>
          </w:tcPr>
          <w:p w14:paraId="6F063C3C">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r>
      <w:tr w14:paraId="069FB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00A6F54D">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7</w:t>
            </w:r>
          </w:p>
        </w:tc>
        <w:tc>
          <w:tcPr>
            <w:tcW w:w="2691" w:type="dxa"/>
            <w:vAlign w:val="center"/>
          </w:tcPr>
          <w:p w14:paraId="46DACFC8">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技术服务</w:t>
            </w:r>
          </w:p>
        </w:tc>
        <w:tc>
          <w:tcPr>
            <w:tcW w:w="1208" w:type="dxa"/>
          </w:tcPr>
          <w:p w14:paraId="32E02A8D">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641" w:type="dxa"/>
            <w:vAlign w:val="center"/>
          </w:tcPr>
          <w:p w14:paraId="5BC790B0">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504" w:type="dxa"/>
            <w:vAlign w:val="center"/>
          </w:tcPr>
          <w:p w14:paraId="0688361D">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002" w:type="dxa"/>
            <w:vAlign w:val="center"/>
          </w:tcPr>
          <w:p w14:paraId="386BB563">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890" w:type="dxa"/>
            <w:vAlign w:val="center"/>
          </w:tcPr>
          <w:p w14:paraId="42638FFC">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937" w:type="dxa"/>
            <w:vAlign w:val="center"/>
          </w:tcPr>
          <w:p w14:paraId="1E1D7A51">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094" w:type="dxa"/>
            <w:vAlign w:val="center"/>
          </w:tcPr>
          <w:p w14:paraId="5ED40526">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100" w:type="dxa"/>
            <w:vAlign w:val="center"/>
          </w:tcPr>
          <w:p w14:paraId="40CFD8AD">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r>
      <w:tr w14:paraId="3E2E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19ACBE90">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8</w:t>
            </w:r>
          </w:p>
        </w:tc>
        <w:tc>
          <w:tcPr>
            <w:tcW w:w="2691" w:type="dxa"/>
            <w:vAlign w:val="center"/>
          </w:tcPr>
          <w:p w14:paraId="2D0AFF30">
            <w:pPr>
              <w:pStyle w:val="25"/>
              <w:spacing w:after="0" w:line="240" w:lineRule="auto"/>
              <w:jc w:val="center"/>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w:t>
            </w:r>
          </w:p>
        </w:tc>
        <w:tc>
          <w:tcPr>
            <w:tcW w:w="1208" w:type="dxa"/>
          </w:tcPr>
          <w:p w14:paraId="2977A256">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641" w:type="dxa"/>
            <w:vAlign w:val="center"/>
          </w:tcPr>
          <w:p w14:paraId="7677DA45">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504" w:type="dxa"/>
            <w:vAlign w:val="center"/>
          </w:tcPr>
          <w:p w14:paraId="32B636BE">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002" w:type="dxa"/>
            <w:vAlign w:val="center"/>
          </w:tcPr>
          <w:p w14:paraId="759DCE17">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890" w:type="dxa"/>
            <w:vAlign w:val="center"/>
          </w:tcPr>
          <w:p w14:paraId="01FB6CCF">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937" w:type="dxa"/>
            <w:vAlign w:val="center"/>
          </w:tcPr>
          <w:p w14:paraId="5121E93B">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094" w:type="dxa"/>
            <w:vAlign w:val="center"/>
          </w:tcPr>
          <w:p w14:paraId="410592B8">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c>
          <w:tcPr>
            <w:tcW w:w="1100" w:type="dxa"/>
            <w:vAlign w:val="center"/>
          </w:tcPr>
          <w:p w14:paraId="03F6902B">
            <w:pPr>
              <w:pStyle w:val="25"/>
              <w:spacing w:after="0" w:line="240" w:lineRule="auto"/>
              <w:ind w:left="540" w:leftChars="257" w:firstLine="480"/>
              <w:jc w:val="center"/>
              <w:rPr>
                <w:rFonts w:ascii="仿宋_GB2312" w:hAnsi="Times New Roman" w:eastAsia="仿宋_GB2312"/>
                <w:kern w:val="2"/>
                <w:sz w:val="28"/>
                <w:szCs w:val="28"/>
                <w:lang w:val="en-US" w:eastAsia="zh-CN"/>
              </w:rPr>
            </w:pPr>
          </w:p>
        </w:tc>
      </w:tr>
      <w:tr w14:paraId="2976B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13755" w:type="dxa"/>
            <w:gridSpan w:val="10"/>
            <w:vAlign w:val="center"/>
          </w:tcPr>
          <w:p w14:paraId="021E8740">
            <w:pPr>
              <w:pStyle w:val="25"/>
              <w:spacing w:after="0" w:line="240" w:lineRule="auto"/>
              <w:rPr>
                <w:rFonts w:ascii="仿宋_GB2312" w:hAnsi="Times New Roman" w:eastAsia="仿宋_GB2312"/>
                <w:kern w:val="2"/>
                <w:sz w:val="28"/>
                <w:szCs w:val="28"/>
                <w:lang w:val="en-US" w:eastAsia="zh-CN"/>
              </w:rPr>
            </w:pPr>
            <w:r>
              <w:rPr>
                <w:rFonts w:hint="eastAsia" w:ascii="仿宋_GB2312" w:hAnsi="Times New Roman" w:eastAsia="仿宋_GB2312"/>
                <w:kern w:val="2"/>
                <w:sz w:val="28"/>
                <w:szCs w:val="28"/>
                <w:lang w:val="en-US" w:eastAsia="zh-CN"/>
              </w:rPr>
              <w:t>总价：</w:t>
            </w:r>
          </w:p>
        </w:tc>
      </w:tr>
    </w:tbl>
    <w:p w14:paraId="7039B75D">
      <w:pPr>
        <w:pStyle w:val="25"/>
        <w:tabs>
          <w:tab w:val="left" w:pos="5580"/>
        </w:tabs>
        <w:spacing w:line="360" w:lineRule="auto"/>
        <w:rPr>
          <w:rFonts w:ascii="仿宋_GB2312" w:hAnsi="Times New Roman" w:eastAsia="仿宋_GB2312"/>
          <w:sz w:val="28"/>
          <w:szCs w:val="28"/>
          <w:lang w:eastAsia="zh-CN"/>
        </w:rPr>
      </w:pPr>
      <w:r>
        <w:rPr>
          <w:rFonts w:ascii="Times New Roman" w:hAnsi="Times New Roman"/>
          <w:sz w:val="24"/>
          <w:szCs w:val="24"/>
          <w:lang w:eastAsia="zh-CN"/>
        </w:rPr>
        <w:t xml:space="preserve">       </w:t>
      </w:r>
      <w:r>
        <w:rPr>
          <w:rFonts w:hint="eastAsia" w:ascii="仿宋_GB2312" w:hAnsi="Times New Roman" w:eastAsia="仿宋_GB2312"/>
          <w:sz w:val="28"/>
          <w:szCs w:val="28"/>
          <w:lang w:eastAsia="zh-CN"/>
        </w:rPr>
        <w:t xml:space="preserve"> 法定代表人（个人电子签章）：                  </w:t>
      </w:r>
    </w:p>
    <w:p w14:paraId="08C4B1D5">
      <w:pPr>
        <w:pStyle w:val="25"/>
        <w:tabs>
          <w:tab w:val="left" w:pos="5580"/>
        </w:tabs>
        <w:spacing w:line="360" w:lineRule="auto"/>
        <w:ind w:firstLine="1120" w:firstLineChars="400"/>
        <w:rPr>
          <w:rFonts w:ascii="仿宋_GB2312" w:hAnsi="Times New Roman" w:eastAsia="仿宋_GB2312"/>
          <w:sz w:val="28"/>
          <w:szCs w:val="28"/>
          <w:lang w:eastAsia="zh-CN"/>
        </w:rPr>
      </w:pPr>
      <w:r>
        <w:rPr>
          <w:rFonts w:hint="eastAsia" w:ascii="仿宋_GB2312" w:hAnsi="Times New Roman" w:eastAsia="仿宋_GB2312"/>
          <w:sz w:val="28"/>
          <w:szCs w:val="28"/>
          <w:lang w:eastAsia="zh-CN"/>
        </w:rPr>
        <w:t xml:space="preserve">投标人（企业电子签章）：                 </w:t>
      </w:r>
    </w:p>
    <w:p w14:paraId="70D9ECEE">
      <w:pPr>
        <w:pStyle w:val="25"/>
        <w:tabs>
          <w:tab w:val="left" w:pos="5580"/>
        </w:tabs>
        <w:spacing w:line="360" w:lineRule="auto"/>
        <w:ind w:firstLine="1120" w:firstLineChars="400"/>
        <w:rPr>
          <w:rFonts w:ascii="Times New Roman" w:hAnsi="Times New Roman"/>
          <w:szCs w:val="21"/>
          <w:lang w:eastAsia="zh-CN"/>
        </w:rPr>
      </w:pPr>
      <w:r>
        <w:rPr>
          <w:rFonts w:hint="eastAsia" w:ascii="仿宋_GB2312" w:hAnsi="Times New Roman" w:eastAsia="仿宋_GB2312"/>
          <w:sz w:val="28"/>
          <w:szCs w:val="28"/>
          <w:lang w:eastAsia="zh-CN"/>
        </w:rPr>
        <w:t>注:</w:t>
      </w:r>
      <w:r>
        <w:rPr>
          <w:rFonts w:hint="eastAsia" w:ascii="仿宋_GB2312" w:hAnsi="Times New Roman" w:eastAsia="仿宋_GB2312"/>
          <w:sz w:val="28"/>
          <w:szCs w:val="28"/>
          <w:lang w:val="en-US" w:eastAsia="zh-CN"/>
        </w:rPr>
        <w:t xml:space="preserve">  </w:t>
      </w:r>
      <w:r>
        <w:rPr>
          <w:rFonts w:hint="eastAsia" w:ascii="仿宋_GB2312" w:hAnsi="Times New Roman" w:eastAsia="仿宋_GB2312"/>
          <w:sz w:val="28"/>
          <w:szCs w:val="28"/>
          <w:lang w:eastAsia="zh-CN"/>
        </w:rPr>
        <w:t>格式可自拟。</w:t>
      </w:r>
      <w:bookmarkStart w:id="395" w:name="_Toc585133884"/>
      <w:bookmarkStart w:id="396" w:name="_Toc893708091"/>
      <w:bookmarkStart w:id="397" w:name="_Toc2582323"/>
      <w:bookmarkStart w:id="398" w:name="_Toc643738620"/>
      <w:bookmarkStart w:id="399" w:name="_Toc1973880807"/>
      <w:bookmarkStart w:id="400" w:name="_Toc74240239"/>
      <w:bookmarkStart w:id="401" w:name="_Toc299604904"/>
    </w:p>
    <w:p w14:paraId="41FFCF2E">
      <w:pPr>
        <w:pStyle w:val="25"/>
        <w:ind w:left="540" w:leftChars="257" w:firstLine="480"/>
        <w:rPr>
          <w:rFonts w:ascii="Times New Roman" w:hAnsi="Times New Roman"/>
          <w:szCs w:val="21"/>
          <w:lang w:val="en-US" w:eastAsia="zh-CN"/>
        </w:rPr>
        <w:sectPr>
          <w:pgSz w:w="16840" w:h="11900" w:orient="landscape"/>
          <w:pgMar w:top="1800" w:right="1440" w:bottom="1800" w:left="1440" w:header="851" w:footer="992" w:gutter="0"/>
          <w:cols w:space="720" w:num="1"/>
        </w:sectPr>
      </w:pPr>
    </w:p>
    <w:p w14:paraId="050D9533">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402" w:name="_Toc1528107318"/>
      <w:bookmarkStart w:id="403" w:name="_Toc2024909766"/>
      <w:bookmarkStart w:id="404" w:name="_Toc1846317276"/>
      <w:bookmarkStart w:id="405" w:name="_Toc98955996"/>
      <w:bookmarkStart w:id="406" w:name="_Toc131578556"/>
      <w:bookmarkStart w:id="407" w:name="_Toc1221324939"/>
      <w:bookmarkStart w:id="408" w:name="_Toc821511257"/>
      <w:bookmarkStart w:id="409" w:name="_Toc1251267079"/>
      <w:bookmarkStart w:id="410" w:name="_Toc1360147113"/>
      <w:r>
        <w:rPr>
          <w:rFonts w:hint="default" w:ascii="Times New Roman" w:hAnsi="Times New Roman" w:eastAsia="方正小标宋_GBK" w:cs="Times New Roman"/>
          <w:bCs/>
          <w:color w:val="auto"/>
          <w:kern w:val="0"/>
          <w:sz w:val="30"/>
          <w:szCs w:val="30"/>
          <w:lang w:val="en-US" w:eastAsia="zh-CN"/>
        </w:rPr>
        <w:t>五、</w:t>
      </w:r>
      <w:bookmarkEnd w:id="402"/>
      <w:bookmarkEnd w:id="403"/>
      <w:bookmarkEnd w:id="404"/>
      <w:r>
        <w:rPr>
          <w:rFonts w:hint="default" w:ascii="Times New Roman" w:hAnsi="Times New Roman" w:eastAsia="方正小标宋_GBK" w:cs="Times New Roman"/>
          <w:bCs/>
          <w:color w:val="auto"/>
          <w:kern w:val="0"/>
          <w:sz w:val="30"/>
          <w:szCs w:val="30"/>
          <w:lang w:val="en-US" w:eastAsia="zh-CN"/>
        </w:rPr>
        <w:t>企业声明函</w:t>
      </w:r>
      <w:bookmarkEnd w:id="405"/>
    </w:p>
    <w:p w14:paraId="3DB1935C">
      <w:pPr>
        <w:jc w:val="center"/>
        <w:rPr>
          <w:rFonts w:hint="default" w:ascii="Times New Roman" w:hAnsi="Times New Roman" w:eastAsia="CESI楷体-GB2312" w:cs="Times New Roman"/>
          <w:b/>
          <w:bCs/>
          <w:color w:val="auto"/>
          <w:sz w:val="32"/>
          <w:szCs w:val="32"/>
          <w:lang w:val="en-US" w:eastAsia="zh-CN"/>
        </w:rPr>
      </w:pPr>
      <w:r>
        <w:rPr>
          <w:rFonts w:hint="default" w:ascii="Times New Roman" w:hAnsi="Times New Roman" w:eastAsia="CESI楷体-GB2312" w:cs="Times New Roman"/>
          <w:b/>
          <w:bCs/>
          <w:color w:val="auto"/>
          <w:sz w:val="32"/>
          <w:szCs w:val="32"/>
          <w:lang w:val="en-US" w:eastAsia="zh-CN"/>
        </w:rPr>
        <w:t>中小企业声明函（货物）</w:t>
      </w:r>
    </w:p>
    <w:p w14:paraId="370C74BC">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（投标人属于小型微企业的填写，不属于的无需填写或不提供此项内容）</w:t>
      </w:r>
    </w:p>
    <w:p w14:paraId="20DA4165">
      <w:pPr>
        <w:spacing w:before="100" w:after="100" w:line="420" w:lineRule="exact"/>
        <w:ind w:firstLine="560" w:firstLineChars="200"/>
        <w:jc w:val="left"/>
        <w:rPr>
          <w:rFonts w:hint="default" w:ascii="仿宋_GB2312" w:hAnsi="Times New Roman" w:eastAsia="仿宋_GB2312" w:cs="Times New Roman"/>
          <w:color w:val="auto"/>
          <w:kern w:val="0"/>
          <w:sz w:val="28"/>
          <w:szCs w:val="28"/>
          <w:lang w:val="en-US" w:eastAsia="zh-CN"/>
        </w:rPr>
      </w:pPr>
      <w:r>
        <w:rPr>
          <w:rFonts w:ascii="仿宋_GB2312" w:hAnsi="Times New Roman" w:eastAsia="仿宋_GB2312" w:cs="Times New Roman"/>
          <w:color w:val="auto"/>
          <w:kern w:val="0"/>
          <w:sz w:val="28"/>
          <w:szCs w:val="28"/>
          <w:lang w:val="en-US" w:eastAsia="zh-CN"/>
        </w:rPr>
        <w:t>本公司（联合体）郑重声明，根据《政府采购促进中小企业发展管理办法》（财库（2020〕46 号）的规定，本公司（联合体）参加_</w:t>
      </w:r>
      <w:r>
        <w:rPr>
          <w:rFonts w:ascii="仿宋_GB2312" w:hAnsi="Times New Roman" w:eastAsia="仿宋_GB2312" w:cs="Times New Roman"/>
          <w:color w:val="auto"/>
          <w:kern w:val="0"/>
          <w:sz w:val="28"/>
          <w:szCs w:val="28"/>
          <w:u w:val="single"/>
          <w:lang w:val="en" w:eastAsia="zh-CN"/>
        </w:rPr>
        <w:t>新乡医学院第一附属医院</w:t>
      </w:r>
      <w:r>
        <w:rPr>
          <w:rFonts w:ascii="仿宋_GB2312" w:hAnsi="Times New Roman" w:eastAsia="仿宋_GB2312" w:cs="Times New Roman"/>
          <w:color w:val="auto"/>
          <w:kern w:val="0"/>
          <w:sz w:val="28"/>
          <w:szCs w:val="28"/>
          <w:u w:val="single"/>
          <w:lang w:val="en-US" w:eastAsia="zh-CN"/>
        </w:rPr>
        <w:t xml:space="preserve"> </w:t>
      </w:r>
      <w:r>
        <w:rPr>
          <w:rFonts w:ascii="仿宋_GB2312" w:hAnsi="Times New Roman" w:eastAsia="仿宋_GB2312" w:cs="Times New Roman"/>
          <w:color w:val="auto"/>
          <w:kern w:val="0"/>
          <w:sz w:val="28"/>
          <w:szCs w:val="28"/>
          <w:lang w:val="en-US" w:eastAsia="zh-CN"/>
        </w:rPr>
        <w:t>的</w:t>
      </w:r>
      <w:r>
        <w:rPr>
          <w:rFonts w:ascii="仿宋_GB2312" w:hAnsi="Times New Roman" w:eastAsia="仿宋_GB2312" w:cs="Times New Roman"/>
          <w:color w:val="auto"/>
          <w:kern w:val="0"/>
          <w:sz w:val="28"/>
          <w:szCs w:val="28"/>
          <w:u w:val="single"/>
          <w:lang w:val="en-US" w:eastAsia="zh-CN"/>
        </w:rPr>
        <w:t xml:space="preserve">  </w:t>
      </w:r>
      <w:r>
        <w:rPr>
          <w:rFonts w:ascii="仿宋_GB2312" w:hAnsi="Times New Roman" w:eastAsia="仿宋_GB2312" w:cs="Times New Roman"/>
          <w:color w:val="auto"/>
          <w:sz w:val="28"/>
          <w:szCs w:val="28"/>
          <w:u w:val="single"/>
          <w:lang w:val="en" w:eastAsia="zh-CN"/>
        </w:rPr>
        <w:t>新乡医学院第一附属医院信息化基础设施及安全能力提升项目</w:t>
      </w:r>
      <w:r>
        <w:rPr>
          <w:rFonts w:ascii="仿宋_GB2312" w:hAnsi="Times New Roman" w:eastAsia="仿宋_GB2312" w:cs="Times New Roman"/>
          <w:color w:val="auto"/>
          <w:kern w:val="0"/>
          <w:sz w:val="28"/>
          <w:szCs w:val="28"/>
          <w:u w:val="single"/>
          <w:lang w:val="en-US" w:eastAsia="zh-CN"/>
        </w:rPr>
        <w:t xml:space="preserve"> </w:t>
      </w:r>
      <w:r>
        <w:rPr>
          <w:rFonts w:ascii="仿宋_GB2312" w:hAnsi="Times New Roman" w:eastAsia="仿宋_GB2312" w:cs="Times New Roman"/>
          <w:color w:val="auto"/>
          <w:kern w:val="0"/>
          <w:sz w:val="28"/>
          <w:szCs w:val="28"/>
          <w:lang w:val="en-US" w:eastAsia="zh-CN"/>
        </w:rPr>
        <w:t>采购活动，提供的货物全部由符合政策要求的中小企业制造。相关企业（含联合体中的中小企业、签订分包意向协议的中小企业）的具体情况如下∶</w:t>
      </w:r>
    </w:p>
    <w:p w14:paraId="32E46CAA">
      <w:pPr>
        <w:spacing w:before="100" w:after="100" w:line="420" w:lineRule="exact"/>
        <w:ind w:firstLine="560" w:firstLineChars="200"/>
        <w:jc w:val="left"/>
        <w:rPr>
          <w:rFonts w:hint="default" w:ascii="仿宋_GB2312" w:hAnsi="Times New Roman" w:eastAsia="仿宋_GB2312" w:cs="Times New Roman"/>
          <w:color w:val="auto"/>
          <w:kern w:val="0"/>
          <w:sz w:val="28"/>
          <w:szCs w:val="28"/>
          <w:lang w:val="en-US" w:eastAsia="zh-CN"/>
        </w:rPr>
      </w:pPr>
      <w:r>
        <w:rPr>
          <w:rFonts w:ascii="仿宋_GB2312" w:hAnsi="Times New Roman" w:eastAsia="仿宋_GB2312" w:cs="Times New Roman"/>
          <w:color w:val="auto"/>
          <w:kern w:val="0"/>
          <w:sz w:val="28"/>
          <w:szCs w:val="28"/>
          <w:lang w:val="en-US" w:eastAsia="zh-CN"/>
        </w:rPr>
        <w:t>1.</w:t>
      </w:r>
      <w:r>
        <w:rPr>
          <w:rFonts w:ascii="仿宋_GB2312" w:hAnsi="Times New Roman" w:eastAsia="仿宋_GB2312" w:cs="Times New Roman"/>
          <w:i/>
          <w:iCs/>
          <w:color w:val="auto"/>
          <w:kern w:val="0"/>
          <w:sz w:val="28"/>
          <w:szCs w:val="28"/>
          <w:u w:val="single"/>
          <w:lang w:val="en-US" w:eastAsia="zh-CN"/>
        </w:rPr>
        <w:t>（标的名称）</w:t>
      </w:r>
      <w:r>
        <w:rPr>
          <w:rFonts w:ascii="仿宋_GB2312" w:hAnsi="Times New Roman" w:eastAsia="仿宋_GB2312" w:cs="Times New Roman"/>
          <w:color w:val="auto"/>
          <w:kern w:val="0"/>
          <w:sz w:val="28"/>
          <w:szCs w:val="28"/>
          <w:lang w:val="en-US" w:eastAsia="zh-CN"/>
        </w:rPr>
        <w:t>，属于</w:t>
      </w:r>
      <w:r>
        <w:rPr>
          <w:rFonts w:ascii="仿宋_GB2312" w:hAnsi="Times New Roman" w:eastAsia="仿宋_GB2312" w:cs="Times New Roman"/>
          <w:color w:val="auto"/>
          <w:kern w:val="0"/>
          <w:sz w:val="28"/>
          <w:szCs w:val="28"/>
          <w:u w:val="single"/>
          <w:lang w:val="en-US" w:eastAsia="zh-CN"/>
        </w:rPr>
        <w:t>（采购文件中明确的所属行业）</w:t>
      </w:r>
      <w:r>
        <w:rPr>
          <w:rFonts w:ascii="仿宋_GB2312" w:hAnsi="Times New Roman" w:eastAsia="仿宋_GB2312" w:cs="Times New Roman"/>
          <w:color w:val="auto"/>
          <w:kern w:val="0"/>
          <w:sz w:val="28"/>
          <w:szCs w:val="28"/>
          <w:lang w:val="en-US" w:eastAsia="zh-CN"/>
        </w:rPr>
        <w:t>行业;制造商为</w:t>
      </w:r>
      <w:r>
        <w:rPr>
          <w:rFonts w:ascii="仿宋_GB2312" w:hAnsi="Times New Roman" w:eastAsia="仿宋_GB2312" w:cs="Times New Roman"/>
          <w:i/>
          <w:iCs/>
          <w:color w:val="auto"/>
          <w:kern w:val="0"/>
          <w:sz w:val="28"/>
          <w:szCs w:val="28"/>
          <w:u w:val="single"/>
          <w:lang w:val="en-US" w:eastAsia="zh-CN"/>
        </w:rPr>
        <w:t>（企业名称）</w:t>
      </w:r>
      <w:r>
        <w:rPr>
          <w:rFonts w:ascii="仿宋_GB2312" w:hAnsi="Times New Roman" w:eastAsia="仿宋_GB2312" w:cs="Times New Roman"/>
          <w:color w:val="auto"/>
          <w:kern w:val="0"/>
          <w:sz w:val="28"/>
          <w:szCs w:val="28"/>
          <w:lang w:val="en-US" w:eastAsia="zh-CN"/>
        </w:rPr>
        <w:t>，从业人员</w:t>
      </w:r>
      <w:r>
        <w:rPr>
          <w:rFonts w:ascii="仿宋_GB2312" w:hAnsi="Times New Roman" w:eastAsia="仿宋_GB2312" w:cs="Times New Roman"/>
          <w:color w:val="auto"/>
          <w:kern w:val="0"/>
          <w:sz w:val="28"/>
          <w:szCs w:val="28"/>
          <w:u w:val="single"/>
          <w:lang w:val="en-US" w:eastAsia="zh-CN"/>
        </w:rPr>
        <w:t xml:space="preserve">    </w:t>
      </w:r>
      <w:r>
        <w:rPr>
          <w:rFonts w:ascii="仿宋_GB2312" w:hAnsi="Times New Roman" w:eastAsia="仿宋_GB2312" w:cs="Times New Roman"/>
          <w:color w:val="auto"/>
          <w:kern w:val="0"/>
          <w:sz w:val="28"/>
          <w:szCs w:val="28"/>
          <w:lang w:val="en-US" w:eastAsia="zh-CN"/>
        </w:rPr>
        <w:t>人，营业入为</w:t>
      </w:r>
      <w:r>
        <w:rPr>
          <w:rFonts w:ascii="仿宋_GB2312" w:hAnsi="Times New Roman" w:eastAsia="仿宋_GB2312" w:cs="Times New Roman"/>
          <w:color w:val="auto"/>
          <w:kern w:val="0"/>
          <w:sz w:val="28"/>
          <w:szCs w:val="28"/>
          <w:u w:val="single"/>
          <w:lang w:val="en-US" w:eastAsia="zh-CN"/>
        </w:rPr>
        <w:t xml:space="preserve">   </w:t>
      </w:r>
      <w:r>
        <w:rPr>
          <w:rFonts w:ascii="仿宋_GB2312" w:hAnsi="Times New Roman" w:eastAsia="仿宋_GB2312" w:cs="Times New Roman"/>
          <w:color w:val="auto"/>
          <w:kern w:val="0"/>
          <w:sz w:val="28"/>
          <w:szCs w:val="28"/>
          <w:lang w:val="en-US" w:eastAsia="zh-CN"/>
        </w:rPr>
        <w:t>万元，资产总额为</w:t>
      </w:r>
      <w:r>
        <w:rPr>
          <w:rFonts w:ascii="仿宋_GB2312" w:hAnsi="Times New Roman" w:eastAsia="仿宋_GB2312" w:cs="Times New Roman"/>
          <w:color w:val="auto"/>
          <w:kern w:val="0"/>
          <w:sz w:val="28"/>
          <w:szCs w:val="28"/>
          <w:u w:val="single"/>
          <w:lang w:val="en-US" w:eastAsia="zh-CN"/>
        </w:rPr>
        <w:t xml:space="preserve">    </w:t>
      </w:r>
      <w:r>
        <w:rPr>
          <w:rFonts w:ascii="仿宋_GB2312" w:hAnsi="Times New Roman" w:eastAsia="仿宋_GB2312" w:cs="Times New Roman"/>
          <w:color w:val="auto"/>
          <w:kern w:val="0"/>
          <w:sz w:val="28"/>
          <w:szCs w:val="28"/>
          <w:lang w:val="en-US" w:eastAsia="zh-CN"/>
        </w:rPr>
        <w:t>万元，属于</w:t>
      </w:r>
      <w:r>
        <w:rPr>
          <w:rFonts w:ascii="仿宋_GB2312" w:hAnsi="Times New Roman" w:eastAsia="仿宋_GB2312" w:cs="Times New Roman"/>
          <w:i/>
          <w:iCs/>
          <w:color w:val="auto"/>
          <w:kern w:val="0"/>
          <w:sz w:val="28"/>
          <w:szCs w:val="28"/>
          <w:u w:val="single"/>
          <w:lang w:val="en-US" w:eastAsia="zh-CN"/>
        </w:rPr>
        <w:t>（中型企业、小型企业、微型企业）</w:t>
      </w:r>
      <w:r>
        <w:rPr>
          <w:rFonts w:ascii="仿宋_GB2312" w:hAnsi="Times New Roman" w:eastAsia="仿宋_GB2312" w:cs="Times New Roman"/>
          <w:color w:val="auto"/>
          <w:kern w:val="0"/>
          <w:sz w:val="28"/>
          <w:szCs w:val="28"/>
          <w:lang w:val="en-US" w:eastAsia="zh-CN"/>
        </w:rPr>
        <w:t>;</w:t>
      </w:r>
    </w:p>
    <w:p w14:paraId="28D338A4">
      <w:pPr>
        <w:spacing w:before="100" w:after="100" w:line="420" w:lineRule="exact"/>
        <w:ind w:firstLine="480"/>
        <w:jc w:val="left"/>
        <w:rPr>
          <w:rFonts w:hint="default" w:ascii="仿宋_GB2312" w:hAnsi="Times New Roman" w:eastAsia="仿宋_GB2312" w:cs="Times New Roman"/>
          <w:color w:val="auto"/>
          <w:kern w:val="0"/>
          <w:sz w:val="28"/>
          <w:szCs w:val="28"/>
          <w:lang w:val="en-US" w:eastAsia="zh-CN"/>
        </w:rPr>
      </w:pPr>
      <w:r>
        <w:rPr>
          <w:rFonts w:ascii="仿宋_GB2312" w:hAnsi="Times New Roman" w:eastAsia="仿宋_GB2312" w:cs="Times New Roman"/>
          <w:color w:val="auto"/>
          <w:kern w:val="0"/>
          <w:sz w:val="28"/>
          <w:szCs w:val="28"/>
          <w:lang w:val="en-US" w:eastAsia="zh-CN"/>
        </w:rPr>
        <w:t>2.</w:t>
      </w:r>
      <w:r>
        <w:rPr>
          <w:rFonts w:ascii="仿宋_GB2312" w:hAnsi="Times New Roman" w:eastAsia="仿宋_GB2312" w:cs="Times New Roman"/>
          <w:i/>
          <w:iCs/>
          <w:color w:val="auto"/>
          <w:kern w:val="0"/>
          <w:sz w:val="28"/>
          <w:szCs w:val="28"/>
          <w:u w:val="single"/>
          <w:lang w:val="en-US" w:eastAsia="zh-CN"/>
        </w:rPr>
        <w:t>（标的名称）</w:t>
      </w:r>
      <w:r>
        <w:rPr>
          <w:rFonts w:ascii="仿宋_GB2312" w:hAnsi="Times New Roman" w:eastAsia="仿宋_GB2312" w:cs="Times New Roman"/>
          <w:color w:val="auto"/>
          <w:kern w:val="0"/>
          <w:sz w:val="28"/>
          <w:szCs w:val="28"/>
          <w:lang w:val="en-US" w:eastAsia="zh-CN"/>
        </w:rPr>
        <w:t>，属于</w:t>
      </w:r>
      <w:r>
        <w:rPr>
          <w:rFonts w:ascii="仿宋_GB2312" w:hAnsi="Times New Roman" w:eastAsia="仿宋_GB2312" w:cs="Times New Roman"/>
          <w:i/>
          <w:iCs/>
          <w:color w:val="auto"/>
          <w:kern w:val="0"/>
          <w:sz w:val="28"/>
          <w:szCs w:val="28"/>
          <w:u w:val="single"/>
          <w:lang w:val="en-US" w:eastAsia="zh-CN"/>
        </w:rPr>
        <w:t>（采购文件中明确的所属行业）</w:t>
      </w:r>
      <w:r>
        <w:rPr>
          <w:rFonts w:ascii="仿宋_GB2312" w:hAnsi="Times New Roman" w:eastAsia="仿宋_GB2312" w:cs="Times New Roman"/>
          <w:color w:val="auto"/>
          <w:kern w:val="0"/>
          <w:sz w:val="28"/>
          <w:szCs w:val="28"/>
          <w:lang w:val="en-US" w:eastAsia="zh-CN"/>
        </w:rPr>
        <w:t>行业;制造商为</w:t>
      </w:r>
      <w:r>
        <w:rPr>
          <w:rFonts w:ascii="仿宋_GB2312" w:hAnsi="Times New Roman" w:eastAsia="仿宋_GB2312" w:cs="Times New Roman"/>
          <w:i/>
          <w:iCs/>
          <w:color w:val="auto"/>
          <w:kern w:val="0"/>
          <w:sz w:val="28"/>
          <w:szCs w:val="28"/>
          <w:u w:val="single"/>
          <w:lang w:val="en-US" w:eastAsia="zh-CN"/>
        </w:rPr>
        <w:t>（企业名称）</w:t>
      </w:r>
      <w:r>
        <w:rPr>
          <w:rFonts w:ascii="仿宋_GB2312" w:hAnsi="Times New Roman" w:eastAsia="仿宋_GB2312" w:cs="Times New Roman"/>
          <w:color w:val="auto"/>
          <w:kern w:val="0"/>
          <w:sz w:val="28"/>
          <w:szCs w:val="28"/>
          <w:lang w:val="en-US" w:eastAsia="zh-CN"/>
        </w:rPr>
        <w:t>，从业人员</w:t>
      </w:r>
      <w:r>
        <w:rPr>
          <w:rFonts w:ascii="仿宋_GB2312" w:hAnsi="Times New Roman" w:eastAsia="仿宋_GB2312" w:cs="Times New Roman"/>
          <w:color w:val="auto"/>
          <w:kern w:val="0"/>
          <w:sz w:val="28"/>
          <w:szCs w:val="28"/>
          <w:u w:val="single"/>
          <w:lang w:val="en-US" w:eastAsia="zh-CN"/>
        </w:rPr>
        <w:t xml:space="preserve">     </w:t>
      </w:r>
      <w:r>
        <w:rPr>
          <w:rFonts w:ascii="仿宋_GB2312" w:hAnsi="Times New Roman" w:eastAsia="仿宋_GB2312" w:cs="Times New Roman"/>
          <w:color w:val="auto"/>
          <w:kern w:val="0"/>
          <w:sz w:val="28"/>
          <w:szCs w:val="28"/>
          <w:lang w:val="en-US" w:eastAsia="zh-CN"/>
        </w:rPr>
        <w:t>人，营业收入为</w:t>
      </w:r>
      <w:r>
        <w:rPr>
          <w:rFonts w:ascii="仿宋_GB2312" w:hAnsi="Times New Roman" w:eastAsia="仿宋_GB2312" w:cs="Times New Roman"/>
          <w:color w:val="auto"/>
          <w:kern w:val="0"/>
          <w:sz w:val="28"/>
          <w:szCs w:val="28"/>
          <w:u w:val="single"/>
          <w:lang w:val="en-US" w:eastAsia="zh-CN"/>
        </w:rPr>
        <w:t xml:space="preserve">    </w:t>
      </w:r>
      <w:r>
        <w:rPr>
          <w:rFonts w:ascii="仿宋_GB2312" w:hAnsi="Times New Roman" w:eastAsia="仿宋_GB2312" w:cs="Times New Roman"/>
          <w:color w:val="auto"/>
          <w:kern w:val="0"/>
          <w:sz w:val="28"/>
          <w:szCs w:val="28"/>
          <w:lang w:val="en-US" w:eastAsia="zh-CN"/>
        </w:rPr>
        <w:t>万元，资产总额为</w:t>
      </w:r>
      <w:r>
        <w:rPr>
          <w:rFonts w:ascii="仿宋_GB2312" w:hAnsi="Times New Roman" w:eastAsia="仿宋_GB2312" w:cs="Times New Roman"/>
          <w:color w:val="auto"/>
          <w:kern w:val="0"/>
          <w:sz w:val="28"/>
          <w:szCs w:val="28"/>
          <w:u w:val="single"/>
          <w:lang w:val="en-US" w:eastAsia="zh-CN"/>
        </w:rPr>
        <w:t xml:space="preserve">    </w:t>
      </w:r>
      <w:r>
        <w:rPr>
          <w:rFonts w:ascii="仿宋_GB2312" w:hAnsi="Times New Roman" w:eastAsia="仿宋_GB2312" w:cs="Times New Roman"/>
          <w:color w:val="auto"/>
          <w:kern w:val="0"/>
          <w:sz w:val="28"/>
          <w:szCs w:val="28"/>
          <w:lang w:val="en-US" w:eastAsia="zh-CN"/>
        </w:rPr>
        <w:t>万元，属于</w:t>
      </w:r>
      <w:r>
        <w:rPr>
          <w:rFonts w:ascii="仿宋_GB2312" w:hAnsi="Times New Roman" w:eastAsia="仿宋_GB2312" w:cs="Times New Roman"/>
          <w:i/>
          <w:iCs/>
          <w:color w:val="auto"/>
          <w:kern w:val="0"/>
          <w:sz w:val="28"/>
          <w:szCs w:val="28"/>
          <w:u w:val="single"/>
          <w:lang w:val="en-US" w:eastAsia="zh-CN"/>
        </w:rPr>
        <w:t>（中型企业、小型企业、微型企业）</w:t>
      </w:r>
      <w:r>
        <w:rPr>
          <w:rFonts w:ascii="仿宋_GB2312" w:hAnsi="Times New Roman" w:eastAsia="仿宋_GB2312" w:cs="Times New Roman"/>
          <w:color w:val="auto"/>
          <w:kern w:val="0"/>
          <w:sz w:val="28"/>
          <w:szCs w:val="28"/>
          <w:lang w:val="en-US" w:eastAsia="zh-CN"/>
        </w:rPr>
        <w:t>。</w:t>
      </w:r>
    </w:p>
    <w:p w14:paraId="1EFF79E6">
      <w:pPr>
        <w:spacing w:before="100" w:after="100" w:line="420" w:lineRule="exact"/>
        <w:ind w:firstLine="480"/>
        <w:jc w:val="left"/>
        <w:rPr>
          <w:rFonts w:hint="default" w:ascii="仿宋_GB2312" w:hAnsi="Times New Roman" w:eastAsia="仿宋_GB2312" w:cs="Times New Roman"/>
          <w:color w:val="auto"/>
          <w:kern w:val="0"/>
          <w:sz w:val="28"/>
          <w:szCs w:val="28"/>
          <w:lang w:val="en-US" w:eastAsia="zh-CN"/>
        </w:rPr>
      </w:pPr>
      <w:r>
        <w:rPr>
          <w:rFonts w:ascii="仿宋_GB2312" w:hAnsi="Times New Roman" w:eastAsia="仿宋_GB2312" w:cs="Times New Roman"/>
          <w:color w:val="auto"/>
          <w:kern w:val="0"/>
          <w:sz w:val="28"/>
          <w:szCs w:val="28"/>
          <w:lang w:val="en-US" w:eastAsia="zh-CN"/>
        </w:rPr>
        <w:t>……</w:t>
      </w:r>
    </w:p>
    <w:p w14:paraId="53E4D531">
      <w:pPr>
        <w:spacing w:before="100" w:after="100" w:line="420" w:lineRule="exact"/>
        <w:ind w:firstLine="480"/>
        <w:jc w:val="left"/>
        <w:rPr>
          <w:rFonts w:hint="default" w:ascii="仿宋_GB2312" w:hAnsi="Times New Roman" w:eastAsia="仿宋_GB2312" w:cs="Times New Roman"/>
          <w:color w:val="auto"/>
          <w:kern w:val="0"/>
          <w:sz w:val="28"/>
          <w:szCs w:val="28"/>
          <w:lang w:val="en-US" w:eastAsia="zh-CN"/>
        </w:rPr>
      </w:pPr>
      <w:r>
        <w:rPr>
          <w:rFonts w:ascii="仿宋_GB2312" w:hAnsi="Times New Roman" w:eastAsia="仿宋_GB2312" w:cs="Times New Roman"/>
          <w:color w:val="auto"/>
          <w:kern w:val="0"/>
          <w:sz w:val="28"/>
          <w:szCs w:val="28"/>
          <w:lang w:val="en-US" w:eastAsia="zh-CN"/>
        </w:rPr>
        <w:t>以上企业，不属于大企业的分支机构，不存在控股股东为大企业的情形，也不存在与大企业的负责人为同一人的情形。</w:t>
      </w:r>
    </w:p>
    <w:p w14:paraId="0C861B2B">
      <w:pPr>
        <w:spacing w:before="100" w:after="100" w:line="420" w:lineRule="exact"/>
        <w:ind w:firstLine="480"/>
        <w:jc w:val="left"/>
        <w:rPr>
          <w:rFonts w:hint="default" w:ascii="仿宋_GB2312" w:hAnsi="Times New Roman" w:eastAsia="仿宋_GB2312" w:cs="Times New Roman"/>
          <w:color w:val="auto"/>
          <w:kern w:val="0"/>
          <w:sz w:val="28"/>
          <w:szCs w:val="28"/>
          <w:lang w:eastAsia="zh-CN"/>
        </w:rPr>
      </w:pPr>
      <w:r>
        <w:rPr>
          <w:rFonts w:ascii="仿宋_GB2312" w:hAnsi="Times New Roman" w:eastAsia="仿宋_GB2312" w:cs="Times New Roman"/>
          <w:color w:val="auto"/>
          <w:kern w:val="0"/>
          <w:sz w:val="28"/>
          <w:szCs w:val="28"/>
          <w:lang w:val="en-US" w:eastAsia="zh-CN"/>
        </w:rPr>
        <w:t>本企业对上述声明内容的真实性负责。如有虚假，将依法承担相应责任。</w:t>
      </w:r>
    </w:p>
    <w:p w14:paraId="128ED094">
      <w:pPr>
        <w:spacing w:before="100" w:after="100" w:line="360" w:lineRule="auto"/>
        <w:ind w:firstLine="3960"/>
        <w:jc w:val="left"/>
        <w:rPr>
          <w:rFonts w:hint="default" w:ascii="仿宋_GB2312" w:hAnsi="Times New Roman" w:eastAsia="仿宋_GB2312" w:cs="Times New Roman"/>
          <w:color w:val="auto"/>
          <w:kern w:val="0"/>
          <w:sz w:val="28"/>
          <w:szCs w:val="28"/>
          <w:lang w:eastAsia="zh-CN"/>
        </w:rPr>
      </w:pPr>
      <w:r>
        <w:rPr>
          <w:rFonts w:ascii="仿宋_GB2312" w:hAnsi="Times New Roman" w:eastAsia="仿宋_GB2312" w:cs="Times New Roman"/>
          <w:color w:val="auto"/>
          <w:kern w:val="0"/>
          <w:sz w:val="28"/>
          <w:szCs w:val="28"/>
          <w:lang w:eastAsia="zh-CN"/>
        </w:rPr>
        <w:t>投标人（企业电子签章）：</w:t>
      </w:r>
      <w:r>
        <w:rPr>
          <w:rFonts w:ascii="仿宋_GB2312" w:hAnsi="Times New Roman" w:eastAsia="仿宋_GB2312" w:cs="Times New Roman"/>
          <w:color w:val="auto"/>
          <w:kern w:val="0"/>
          <w:sz w:val="28"/>
          <w:szCs w:val="28"/>
          <w:u w:val="single"/>
          <w:lang w:val="en-US" w:eastAsia="zh-CN"/>
        </w:rPr>
        <w:t xml:space="preserve">             </w:t>
      </w:r>
    </w:p>
    <w:p w14:paraId="528E7FC6">
      <w:pPr>
        <w:spacing w:before="100" w:after="100" w:line="360" w:lineRule="auto"/>
        <w:ind w:firstLine="3720"/>
        <w:jc w:val="left"/>
        <w:rPr>
          <w:rFonts w:hint="default" w:ascii="仿宋_GB2312" w:hAnsi="Times New Roman" w:eastAsia="仿宋_GB2312" w:cs="Times New Roman"/>
          <w:color w:val="auto"/>
          <w:kern w:val="0"/>
          <w:sz w:val="28"/>
          <w:szCs w:val="28"/>
          <w:u w:val="single"/>
          <w:lang w:val="en-US" w:eastAsia="zh-CN"/>
        </w:rPr>
      </w:pPr>
      <w:r>
        <w:rPr>
          <w:rFonts w:ascii="仿宋_GB2312" w:hAnsi="Times New Roman" w:eastAsia="仿宋_GB2312" w:cs="Times New Roman"/>
          <w:color w:val="auto"/>
          <w:kern w:val="0"/>
          <w:sz w:val="28"/>
          <w:szCs w:val="28"/>
          <w:lang w:eastAsia="zh-CN"/>
        </w:rPr>
        <w:t>　日　期：</w:t>
      </w:r>
      <w:r>
        <w:rPr>
          <w:rFonts w:ascii="仿宋_GB2312" w:hAnsi="Times New Roman" w:eastAsia="仿宋_GB2312" w:cs="Times New Roman"/>
          <w:color w:val="auto"/>
          <w:kern w:val="0"/>
          <w:sz w:val="28"/>
          <w:szCs w:val="28"/>
          <w:u w:val="single"/>
          <w:lang w:val="en-US" w:eastAsia="zh-CN"/>
        </w:rPr>
        <w:t xml:space="preserve">             </w:t>
      </w:r>
    </w:p>
    <w:p w14:paraId="081CC8E4">
      <w:pPr>
        <w:pStyle w:val="168"/>
        <w:pBdr>
          <w:bottom w:val="double" w:color="auto" w:sz="4" w:space="0"/>
        </w:pBdr>
        <w:rPr>
          <w:rFonts w:ascii="Times New Roman" w:hAnsi="Times New Roman" w:eastAsia="仿宋_GB2312"/>
          <w:kern w:val="0"/>
          <w:sz w:val="28"/>
          <w:szCs w:val="28"/>
          <w:u w:val="single"/>
        </w:rPr>
      </w:pPr>
    </w:p>
    <w:p w14:paraId="03A6B697">
      <w:pPr>
        <w:widowControl w:val="0"/>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说明：</w:t>
      </w:r>
    </w:p>
    <w:p w14:paraId="7C4B2DF4">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（1）从业人员、营业收入、资产总额填报上一年度数据，无上一年度数据的新成立企业可不填报。</w:t>
      </w:r>
    </w:p>
    <w:p w14:paraId="7D543916">
      <w:pPr>
        <w:widowControl w:val="0"/>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val="en" w:eastAsia="zh-CN"/>
        </w:rPr>
        <w:t>）</w:t>
      </w:r>
      <w:r>
        <w:rPr>
          <w:rFonts w:hint="default" w:ascii="Times New Roman" w:hAnsi="Times New Roman" w:eastAsia="宋体" w:cs="Times New Roman"/>
          <w:color w:val="auto"/>
          <w:lang w:val="en-US" w:eastAsia="zh-CN"/>
        </w:rPr>
        <w:t>中小企业划型标准见文件末附件。</w:t>
      </w:r>
    </w:p>
    <w:p w14:paraId="7AE68DE0">
      <w:pPr>
        <w:pStyle w:val="4"/>
        <w:jc w:val="center"/>
        <w:rPr>
          <w:rFonts w:ascii="微软雅黑" w:hAnsi="Times New Roman" w:eastAsia="微软雅黑"/>
          <w:b w:val="0"/>
          <w:bCs w:val="0"/>
          <w:color w:val="auto"/>
          <w:lang w:eastAsia="zh-CN"/>
        </w:rPr>
      </w:pPr>
      <w:r>
        <w:rPr>
          <w:rFonts w:ascii="Times New Roman" w:hAnsi="Times New Roman"/>
          <w:color w:val="auto"/>
          <w:lang w:eastAsia="zh-CN"/>
        </w:rPr>
        <w:br w:type="page"/>
      </w:r>
      <w:bookmarkStart w:id="411" w:name="_Toc709139859_WPSOffice_Level2"/>
      <w:bookmarkStart w:id="412" w:name="_Toc71543331"/>
      <w:bookmarkStart w:id="413" w:name="_Toc430357775"/>
      <w:bookmarkStart w:id="414" w:name="_Toc1376471950"/>
      <w:bookmarkStart w:id="415" w:name="_Toc596959550"/>
      <w:bookmarkStart w:id="416" w:name="_Toc1555514676"/>
      <w:r>
        <w:rPr>
          <w:rFonts w:hint="eastAsia" w:ascii="Times New Roman" w:hAnsi="Times New Roman" w:eastAsia="宋体"/>
          <w:color w:val="auto"/>
          <w:kern w:val="2"/>
          <w:sz w:val="28"/>
          <w:szCs w:val="28"/>
          <w:lang w:eastAsia="zh-CN"/>
        </w:rPr>
        <w:t>投标人监狱企业声明函</w:t>
      </w:r>
      <w:bookmarkEnd w:id="411"/>
      <w:bookmarkEnd w:id="412"/>
      <w:bookmarkEnd w:id="413"/>
      <w:bookmarkEnd w:id="414"/>
      <w:bookmarkEnd w:id="415"/>
      <w:bookmarkEnd w:id="416"/>
    </w:p>
    <w:p w14:paraId="113200D2">
      <w:pPr>
        <w:spacing w:line="360" w:lineRule="auto"/>
        <w:jc w:val="center"/>
        <w:rPr>
          <w:rFonts w:hint="default" w:ascii="Times New Roman" w:hAnsi="Times New Roman" w:eastAsia="仿宋_GB2312" w:cs="Times New Roman"/>
          <w:b/>
          <w:bCs/>
          <w:color w:val="auto"/>
          <w:kern w:val="0"/>
          <w:sz w:val="28"/>
          <w:szCs w:val="28"/>
          <w:lang w:val="en-US" w:eastAsia="zh-CN"/>
        </w:rPr>
      </w:pPr>
      <w:r>
        <w:rPr>
          <w:rFonts w:hint="default" w:ascii="Times New Roman" w:hAnsi="Times New Roman" w:eastAsia="仿宋_GB2312" w:cs="Times New Roman"/>
          <w:color w:val="auto"/>
          <w:kern w:val="0"/>
          <w:sz w:val="24"/>
          <w:szCs w:val="24"/>
          <w:lang w:val="en-US" w:eastAsia="zh-CN"/>
        </w:rPr>
        <w:t>（投标人属于监狱企业的填写，不属于的无需填写或不提供此项内容）</w:t>
      </w:r>
    </w:p>
    <w:p w14:paraId="5B98D7A6">
      <w:pPr>
        <w:pStyle w:val="17"/>
        <w:rPr>
          <w:rFonts w:ascii="Times New Roman" w:hAnsi="Times New Roman" w:cs="Times New Roman"/>
          <w:color w:val="auto"/>
        </w:rPr>
      </w:pPr>
    </w:p>
    <w:p w14:paraId="59FD109F">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本企业（单位）郑重声明下列事项（按照实际情况勾选或填空）：</w:t>
      </w:r>
    </w:p>
    <w:p w14:paraId="35E4F6FF">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本企业（单位）为直接投标人，提供本企业（单位）服务。本企业（单位）</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（请填写：是、不是）监狱企业。后附省级以上监狱管理局、戒毒管理局（含新疆生产建设兵团）出具的属于监狱企业的证明文件。</w:t>
      </w:r>
    </w:p>
    <w:p w14:paraId="021DA219">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本企业（单位）对上述声明的真实性负责。如有虚假，将依法承担相应责任。</w:t>
      </w:r>
    </w:p>
    <w:p w14:paraId="40A55DC7">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39E36BE8">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56C4C072">
      <w:pPr>
        <w:spacing w:line="360" w:lineRule="auto"/>
        <w:rPr>
          <w:rFonts w:hint="default" w:ascii="Times New Roman" w:hAnsi="Times New Roman" w:eastAsia="仿宋_GB2312" w:cs="Times New Roman"/>
          <w:b/>
          <w:bCs/>
          <w:color w:val="auto"/>
          <w:sz w:val="28"/>
          <w:szCs w:val="28"/>
          <w:lang w:val="en-US" w:eastAsia="zh-CN"/>
        </w:rPr>
      </w:pPr>
    </w:p>
    <w:p w14:paraId="45EBE92A">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3D8ED7A0">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1ACFE5DC">
      <w:pPr>
        <w:spacing w:line="36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cs="Times New Roman"/>
          <w:color w:val="auto"/>
          <w:lang w:eastAsia="zh-CN"/>
        </w:rPr>
        <w:br w:type="page"/>
      </w:r>
      <w:r>
        <w:rPr>
          <w:rFonts w:hint="default" w:ascii="Times New Roman" w:hAnsi="Times New Roman" w:eastAsia="宋体" w:cs="Times New Roman"/>
          <w:b/>
          <w:bCs/>
          <w:color w:val="auto"/>
          <w:sz w:val="28"/>
          <w:szCs w:val="28"/>
          <w:lang w:eastAsia="zh-CN"/>
        </w:rPr>
        <w:t>残疾人福利性单位声明函（投标人）</w:t>
      </w:r>
    </w:p>
    <w:p w14:paraId="4DB0506E">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（投标人属于残疾人福利性单位的填写，不属于的无需填写或不提供此项内容）</w:t>
      </w:r>
    </w:p>
    <w:p w14:paraId="0EA653F5">
      <w:pPr>
        <w:spacing w:line="360" w:lineRule="auto"/>
        <w:rPr>
          <w:rFonts w:hint="default" w:ascii="Times New Roman" w:hAnsi="Times New Roman" w:eastAsia="仿宋_GB2312" w:cs="Times New Roman"/>
          <w:b/>
          <w:color w:val="auto"/>
          <w:spacing w:val="6"/>
          <w:lang w:eastAsia="zh-CN"/>
        </w:rPr>
      </w:pPr>
    </w:p>
    <w:p w14:paraId="735282EB">
      <w:pPr>
        <w:spacing w:line="360" w:lineRule="auto"/>
        <w:ind w:firstLine="584" w:firstLineChars="200"/>
        <w:rPr>
          <w:rFonts w:hint="default" w:ascii="仿宋_GB2312" w:hAnsi="Times New Roman" w:eastAsia="仿宋_GB2312" w:cs="Times New Roman"/>
          <w:color w:val="auto"/>
          <w:spacing w:val="6"/>
          <w:sz w:val="28"/>
          <w:szCs w:val="28"/>
          <w:lang w:eastAsia="zh-CN"/>
        </w:rPr>
      </w:pPr>
      <w:r>
        <w:rPr>
          <w:rFonts w:ascii="仿宋_GB2312" w:hAnsi="Times New Roman" w:eastAsia="仿宋_GB2312" w:cs="Times New Roman"/>
          <w:color w:val="auto"/>
          <w:spacing w:val="6"/>
          <w:sz w:val="28"/>
          <w:szCs w:val="28"/>
          <w:lang w:eastAsia="zh-CN"/>
        </w:rPr>
        <w:t>本单位郑重声明，根据《财政部 民政部 中国残疾人联合会关于促进残疾人就业政府采购政策的通知》（财库</w:t>
      </w:r>
      <w:r>
        <w:rPr>
          <w:rFonts w:ascii="仿宋_GB2312" w:hAnsi="Times New Roman" w:eastAsia="仿宋_GB2312" w:cs="Times New Roman"/>
          <w:color w:val="auto"/>
          <w:sz w:val="28"/>
          <w:szCs w:val="28"/>
          <w:lang w:eastAsia="zh-CN"/>
        </w:rPr>
        <w:t>〔2017〕 141</w:t>
      </w:r>
      <w:r>
        <w:rPr>
          <w:rFonts w:ascii="仿宋_GB2312" w:hAnsi="Times New Roman" w:eastAsia="仿宋_GB2312" w:cs="Times New Roman"/>
          <w:color w:val="auto"/>
          <w:spacing w:val="6"/>
          <w:sz w:val="28"/>
          <w:szCs w:val="28"/>
          <w:lang w:eastAsia="zh-CN"/>
        </w:rPr>
        <w:t>号）的规定，本单位为符合条件的残疾人福利性单位，本单位为</w:t>
      </w:r>
      <w:r>
        <w:rPr>
          <w:rFonts w:ascii="仿宋_GB2312" w:hAnsi="Times New Roman" w:eastAsia="仿宋_GB2312" w:cs="Times New Roman"/>
          <w:color w:val="auto"/>
          <w:sz w:val="28"/>
          <w:szCs w:val="28"/>
          <w:u w:val="single"/>
          <w:lang w:val="en" w:eastAsia="zh-CN"/>
        </w:rPr>
        <w:t xml:space="preserve">               </w:t>
      </w:r>
      <w:r>
        <w:rPr>
          <w:rFonts w:ascii="仿宋_GB2312" w:hAnsi="Times New Roman" w:eastAsia="仿宋_GB2312" w:cs="Times New Roman"/>
          <w:color w:val="auto"/>
          <w:spacing w:val="6"/>
          <w:sz w:val="28"/>
          <w:szCs w:val="28"/>
          <w:lang w:eastAsia="zh-CN"/>
        </w:rPr>
        <w:t>项目采购活动提供本单位制造的货物（不包括使用非残疾人福利性单位注册商标的货物）。</w:t>
      </w:r>
    </w:p>
    <w:p w14:paraId="60762E62">
      <w:pPr>
        <w:spacing w:line="360" w:lineRule="auto"/>
        <w:ind w:firstLine="584" w:firstLineChars="200"/>
        <w:rPr>
          <w:rFonts w:hint="default" w:ascii="仿宋_GB2312" w:hAnsi="Times New Roman" w:eastAsia="仿宋_GB2312" w:cs="Times New Roman"/>
          <w:color w:val="auto"/>
          <w:spacing w:val="6"/>
          <w:sz w:val="28"/>
          <w:szCs w:val="28"/>
          <w:lang w:eastAsia="zh-CN"/>
        </w:rPr>
      </w:pPr>
      <w:r>
        <w:rPr>
          <w:rFonts w:ascii="仿宋_GB2312" w:hAnsi="Times New Roman" w:eastAsia="仿宋_GB2312" w:cs="Times New Roman"/>
          <w:color w:val="auto"/>
          <w:spacing w:val="6"/>
          <w:sz w:val="28"/>
          <w:szCs w:val="28"/>
          <w:lang w:eastAsia="zh-CN"/>
        </w:rPr>
        <w:t>本单位对上述声明的真实性负责。如有虚假，将依法承担相应责任。</w:t>
      </w:r>
    </w:p>
    <w:p w14:paraId="1222F0E7">
      <w:pPr>
        <w:spacing w:line="360" w:lineRule="auto"/>
        <w:ind w:firstLine="444" w:firstLineChars="200"/>
        <w:rPr>
          <w:rFonts w:hint="default" w:ascii="仿宋_GB2312" w:hAnsi="Times New Roman" w:eastAsia="仿宋_GB2312" w:cs="Times New Roman"/>
          <w:color w:val="auto"/>
          <w:spacing w:val="6"/>
          <w:lang w:eastAsia="zh-CN"/>
        </w:rPr>
      </w:pPr>
    </w:p>
    <w:p w14:paraId="345E3E39">
      <w:pPr>
        <w:spacing w:line="360" w:lineRule="auto"/>
        <w:ind w:firstLine="444" w:firstLineChars="200"/>
        <w:rPr>
          <w:rFonts w:hint="default" w:ascii="仿宋_GB2312" w:hAnsi="Times New Roman" w:eastAsia="仿宋_GB2312" w:cs="Times New Roman"/>
          <w:color w:val="auto"/>
          <w:spacing w:val="6"/>
          <w:lang w:eastAsia="zh-CN"/>
        </w:rPr>
      </w:pPr>
    </w:p>
    <w:p w14:paraId="2E1F9B84">
      <w:pPr>
        <w:spacing w:before="100" w:after="100" w:line="360" w:lineRule="auto"/>
        <w:ind w:firstLine="3960"/>
        <w:jc w:val="left"/>
        <w:rPr>
          <w:rFonts w:hint="default" w:ascii="仿宋_GB2312" w:hAnsi="Times New Roman" w:eastAsia="仿宋_GB2312" w:cs="Times New Roman"/>
          <w:color w:val="auto"/>
          <w:kern w:val="0"/>
          <w:sz w:val="28"/>
          <w:szCs w:val="28"/>
          <w:lang w:eastAsia="zh-CN"/>
        </w:rPr>
      </w:pPr>
      <w:r>
        <w:rPr>
          <w:rFonts w:ascii="仿宋_GB2312" w:hAnsi="Times New Roman" w:eastAsia="仿宋_GB2312" w:cs="Times New Roman"/>
          <w:color w:val="auto"/>
          <w:kern w:val="0"/>
          <w:sz w:val="28"/>
          <w:szCs w:val="28"/>
          <w:lang w:eastAsia="zh-CN"/>
        </w:rPr>
        <w:t>投标人（企业电子签章）：</w:t>
      </w:r>
      <w:r>
        <w:rPr>
          <w:rFonts w:ascii="仿宋_GB2312" w:hAnsi="Times New Roman" w:eastAsia="仿宋_GB2312" w:cs="Times New Roman"/>
          <w:color w:val="auto"/>
          <w:kern w:val="0"/>
          <w:sz w:val="28"/>
          <w:szCs w:val="28"/>
          <w:u w:val="single"/>
          <w:lang w:val="en-US" w:eastAsia="zh-CN"/>
        </w:rPr>
        <w:t xml:space="preserve">             </w:t>
      </w:r>
    </w:p>
    <w:p w14:paraId="6F124F58">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ascii="仿宋_GB2312" w:hAnsi="Times New Roman" w:eastAsia="仿宋_GB2312" w:cs="Times New Roman"/>
          <w:color w:val="auto"/>
          <w:kern w:val="0"/>
          <w:sz w:val="28"/>
          <w:szCs w:val="28"/>
          <w:lang w:eastAsia="zh-CN"/>
        </w:rPr>
        <w:t>日　期：</w:t>
      </w:r>
      <w:r>
        <w:rPr>
          <w:rFonts w:ascii="仿宋_GB2312" w:hAnsi="Times New Roman" w:eastAsia="仿宋_GB2312" w:cs="Times New Roman"/>
          <w:color w:val="auto"/>
          <w:kern w:val="0"/>
          <w:sz w:val="28"/>
          <w:szCs w:val="28"/>
          <w:u w:val="single"/>
          <w:lang w:val="en-US" w:eastAsia="zh-CN"/>
        </w:rPr>
        <w:t xml:space="preserve">             </w:t>
      </w:r>
    </w:p>
    <w:p w14:paraId="291EA921">
      <w:pPr>
        <w:tabs>
          <w:tab w:val="left" w:pos="4860"/>
        </w:tabs>
        <w:spacing w:line="360" w:lineRule="auto"/>
        <w:ind w:right="1560" w:firstLine="444" w:firstLineChars="200"/>
        <w:jc w:val="center"/>
        <w:rPr>
          <w:rFonts w:hint="default" w:ascii="Times New Roman" w:hAnsi="Times New Roman" w:cs="Times New Roman"/>
          <w:color w:val="auto"/>
          <w:spacing w:val="6"/>
          <w:lang w:eastAsia="zh-CN"/>
        </w:rPr>
      </w:pPr>
    </w:p>
    <w:p w14:paraId="1601BCEB">
      <w:pPr>
        <w:pStyle w:val="168"/>
        <w:pBdr>
          <w:bottom w:val="double" w:color="auto" w:sz="4" w:space="0"/>
        </w:pBdr>
        <w:rPr>
          <w:rFonts w:ascii="Times New Roman" w:hAnsi="Times New Roman" w:eastAsia="仿宋_GB2312"/>
          <w:kern w:val="0"/>
          <w:sz w:val="28"/>
          <w:szCs w:val="28"/>
          <w:u w:val="single"/>
        </w:rPr>
      </w:pPr>
    </w:p>
    <w:p w14:paraId="060C1B38">
      <w:pPr>
        <w:pStyle w:val="168"/>
        <w:pBdr>
          <w:bottom w:val="double" w:color="auto" w:sz="4" w:space="0"/>
        </w:pBdr>
        <w:rPr>
          <w:rFonts w:ascii="Times New Roman" w:hAnsi="Times New Roman" w:eastAsia="仿宋_GB2312"/>
          <w:kern w:val="0"/>
          <w:sz w:val="28"/>
          <w:szCs w:val="28"/>
          <w:u w:val="single"/>
        </w:rPr>
      </w:pPr>
    </w:p>
    <w:p w14:paraId="72B65F4B">
      <w:pPr>
        <w:pStyle w:val="168"/>
        <w:pBdr>
          <w:bottom w:val="double" w:color="auto" w:sz="4" w:space="0"/>
        </w:pBdr>
        <w:rPr>
          <w:rFonts w:ascii="Times New Roman" w:hAnsi="Times New Roman" w:eastAsia="仿宋_GB2312"/>
          <w:kern w:val="0"/>
          <w:sz w:val="28"/>
          <w:szCs w:val="28"/>
          <w:u w:val="single"/>
        </w:rPr>
      </w:pPr>
    </w:p>
    <w:p w14:paraId="6681AB54">
      <w:pPr>
        <w:pStyle w:val="168"/>
        <w:pBdr>
          <w:bottom w:val="double" w:color="auto" w:sz="4" w:space="0"/>
        </w:pBdr>
        <w:rPr>
          <w:rFonts w:ascii="Times New Roman" w:hAnsi="Times New Roman" w:eastAsia="仿宋_GB2312"/>
          <w:kern w:val="0"/>
          <w:sz w:val="28"/>
          <w:szCs w:val="28"/>
          <w:u w:val="single"/>
        </w:rPr>
      </w:pPr>
    </w:p>
    <w:p w14:paraId="258F7AA6">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p w14:paraId="74AB6D76">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1、中标人为代理商且为残疾人福利性单位的，随中标、成交结果同时公告制造商的《残疾人福利性单位声明函》，接受社会监督。</w:t>
      </w:r>
    </w:p>
    <w:p w14:paraId="512DD7B2">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2、中标人提供的《残疾人福利性单位声明函》与事实不符的，依照《政府采购法》第七十七条第一款的规定追究法律责任。</w:t>
      </w:r>
    </w:p>
    <w:p w14:paraId="62117053">
      <w:pPr>
        <w:jc w:val="left"/>
        <w:rPr>
          <w:rFonts w:hint="default" w:ascii="Times New Roman" w:hAnsi="Times New Roman" w:cs="Times New Roman"/>
          <w:b/>
          <w:color w:val="auto"/>
          <w:sz w:val="28"/>
          <w:szCs w:val="28"/>
          <w:lang w:eastAsia="zh-CN"/>
        </w:rPr>
      </w:pPr>
      <w:r>
        <w:rPr>
          <w:rFonts w:hint="default" w:ascii="Times New Roman" w:hAnsi="Times New Roman" w:cs="Times New Roman"/>
          <w:b/>
          <w:color w:val="auto"/>
          <w:sz w:val="28"/>
          <w:szCs w:val="28"/>
          <w:lang w:eastAsia="zh-CN"/>
        </w:rPr>
        <w:br w:type="page"/>
      </w:r>
    </w:p>
    <w:p w14:paraId="401E2131">
      <w:pPr>
        <w:spacing w:line="36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残疾人福利性单位声明函（制造商）</w:t>
      </w:r>
    </w:p>
    <w:p w14:paraId="5D51419B">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（制造商属于残疾人福利性单位的填写，不属于的无需填写或不提供此项内容）</w:t>
      </w:r>
    </w:p>
    <w:p w14:paraId="21C19A55">
      <w:pPr>
        <w:spacing w:line="360" w:lineRule="auto"/>
        <w:rPr>
          <w:rFonts w:hint="default" w:ascii="Times New Roman" w:hAnsi="Times New Roman" w:eastAsia="仿宋_GB2312" w:cs="Times New Roman"/>
          <w:b/>
          <w:color w:val="auto"/>
          <w:spacing w:val="6"/>
          <w:lang w:eastAsia="zh-CN"/>
        </w:rPr>
      </w:pPr>
    </w:p>
    <w:p w14:paraId="19AC9C3D">
      <w:pPr>
        <w:spacing w:line="360" w:lineRule="auto"/>
        <w:ind w:firstLine="584" w:firstLineChars="200"/>
        <w:rPr>
          <w:rFonts w:hint="default" w:ascii="仿宋_GB2312" w:hAnsi="Times New Roman" w:eastAsia="仿宋_GB2312" w:cs="Times New Roman"/>
          <w:color w:val="auto"/>
          <w:spacing w:val="6"/>
          <w:sz w:val="28"/>
          <w:szCs w:val="28"/>
          <w:lang w:eastAsia="zh-CN"/>
        </w:rPr>
      </w:pPr>
      <w:r>
        <w:rPr>
          <w:rFonts w:ascii="仿宋_GB2312" w:hAnsi="Times New Roman" w:eastAsia="仿宋_GB2312" w:cs="Times New Roman"/>
          <w:color w:val="auto"/>
          <w:spacing w:val="6"/>
          <w:sz w:val="28"/>
          <w:szCs w:val="28"/>
          <w:lang w:eastAsia="zh-CN"/>
        </w:rPr>
        <w:t>本单位郑重声明，根据《财政部 民政部 中国残疾人联合会关于促进残疾人就业政府采购政策的通知》（财库</w:t>
      </w:r>
      <w:r>
        <w:rPr>
          <w:rFonts w:ascii="仿宋_GB2312" w:hAnsi="Times New Roman" w:eastAsia="仿宋_GB2312" w:cs="Times New Roman"/>
          <w:color w:val="auto"/>
          <w:sz w:val="28"/>
          <w:szCs w:val="28"/>
          <w:lang w:eastAsia="zh-CN"/>
        </w:rPr>
        <w:t>〔2017〕 141</w:t>
      </w:r>
      <w:r>
        <w:rPr>
          <w:rFonts w:ascii="仿宋_GB2312" w:hAnsi="Times New Roman" w:eastAsia="仿宋_GB2312" w:cs="Times New Roman"/>
          <w:color w:val="auto"/>
          <w:spacing w:val="6"/>
          <w:sz w:val="28"/>
          <w:szCs w:val="28"/>
          <w:lang w:eastAsia="zh-CN"/>
        </w:rPr>
        <w:t>号）的规定，本单位为符合条件的残疾人福利性单位，本单位为______项目采购活动提供本单位制造的货物（不包括使用非残疾人福利性单位注册商标的货物）。</w:t>
      </w:r>
    </w:p>
    <w:p w14:paraId="5DE559FC">
      <w:pPr>
        <w:spacing w:line="360" w:lineRule="auto"/>
        <w:ind w:firstLine="584" w:firstLineChars="200"/>
        <w:rPr>
          <w:rFonts w:hint="default" w:ascii="仿宋_GB2312" w:hAnsi="Times New Roman" w:eastAsia="仿宋_GB2312" w:cs="Times New Roman"/>
          <w:color w:val="auto"/>
          <w:spacing w:val="6"/>
          <w:sz w:val="28"/>
          <w:szCs w:val="28"/>
          <w:lang w:eastAsia="zh-CN"/>
        </w:rPr>
      </w:pPr>
      <w:r>
        <w:rPr>
          <w:rFonts w:ascii="仿宋_GB2312" w:hAnsi="Times New Roman" w:eastAsia="仿宋_GB2312" w:cs="Times New Roman"/>
          <w:color w:val="auto"/>
          <w:spacing w:val="6"/>
          <w:sz w:val="28"/>
          <w:szCs w:val="28"/>
          <w:lang w:eastAsia="zh-CN"/>
        </w:rPr>
        <w:t>本单位对上述声明的真实性负责。如有虚假，将依法承担相应责任。</w:t>
      </w:r>
    </w:p>
    <w:p w14:paraId="478BF83A">
      <w:pPr>
        <w:spacing w:line="360" w:lineRule="auto"/>
        <w:ind w:firstLine="444" w:firstLineChars="200"/>
        <w:rPr>
          <w:rFonts w:hint="default" w:ascii="仿宋_GB2312" w:hAnsi="Times New Roman" w:eastAsia="仿宋_GB2312" w:cs="Times New Roman"/>
          <w:color w:val="auto"/>
          <w:spacing w:val="6"/>
          <w:lang w:eastAsia="zh-CN"/>
        </w:rPr>
      </w:pPr>
    </w:p>
    <w:p w14:paraId="246CEE3A">
      <w:pPr>
        <w:spacing w:line="360" w:lineRule="auto"/>
        <w:ind w:firstLine="444" w:firstLineChars="200"/>
        <w:rPr>
          <w:rFonts w:hint="default" w:ascii="仿宋_GB2312" w:hAnsi="Times New Roman" w:eastAsia="仿宋_GB2312" w:cs="Times New Roman"/>
          <w:color w:val="auto"/>
          <w:spacing w:val="6"/>
          <w:lang w:eastAsia="zh-CN"/>
        </w:rPr>
      </w:pPr>
    </w:p>
    <w:p w14:paraId="7D5CA85E">
      <w:pPr>
        <w:spacing w:before="100" w:after="100" w:line="360" w:lineRule="auto"/>
        <w:ind w:firstLine="3960"/>
        <w:jc w:val="left"/>
        <w:rPr>
          <w:rFonts w:hint="default" w:ascii="仿宋_GB2312" w:hAnsi="Times New Roman" w:eastAsia="仿宋_GB2312" w:cs="Times New Roman"/>
          <w:color w:val="auto"/>
          <w:kern w:val="0"/>
          <w:sz w:val="28"/>
          <w:szCs w:val="28"/>
          <w:lang w:eastAsia="zh-CN"/>
        </w:rPr>
      </w:pPr>
      <w:r>
        <w:rPr>
          <w:rFonts w:ascii="仿宋_GB2312" w:hAnsi="Times New Roman" w:eastAsia="仿宋_GB2312" w:cs="Times New Roman"/>
          <w:color w:val="auto"/>
          <w:kern w:val="0"/>
          <w:sz w:val="28"/>
          <w:szCs w:val="28"/>
          <w:lang w:eastAsia="zh-CN"/>
        </w:rPr>
        <w:t>制造商（企业电子签章）：</w:t>
      </w:r>
      <w:r>
        <w:rPr>
          <w:rFonts w:ascii="仿宋_GB2312" w:hAnsi="Times New Roman" w:eastAsia="仿宋_GB2312" w:cs="Times New Roman"/>
          <w:color w:val="auto"/>
          <w:kern w:val="0"/>
          <w:sz w:val="28"/>
          <w:szCs w:val="28"/>
          <w:u w:val="single"/>
          <w:lang w:val="en-US" w:eastAsia="zh-CN"/>
        </w:rPr>
        <w:t xml:space="preserve">             </w:t>
      </w:r>
    </w:p>
    <w:p w14:paraId="6029888E">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ascii="仿宋_GB2312" w:hAnsi="Times New Roman" w:eastAsia="仿宋_GB2312" w:cs="Times New Roman"/>
          <w:color w:val="auto"/>
          <w:kern w:val="0"/>
          <w:sz w:val="28"/>
          <w:szCs w:val="28"/>
          <w:lang w:eastAsia="zh-CN"/>
        </w:rPr>
        <w:t>日　期：</w:t>
      </w:r>
      <w:r>
        <w:rPr>
          <w:rFonts w:ascii="仿宋_GB2312" w:hAnsi="Times New Roman" w:eastAsia="仿宋_GB2312" w:cs="Times New Roman"/>
          <w:color w:val="auto"/>
          <w:kern w:val="0"/>
          <w:sz w:val="28"/>
          <w:szCs w:val="28"/>
          <w:u w:val="single"/>
          <w:lang w:val="en-US" w:eastAsia="zh-CN"/>
        </w:rPr>
        <w:t xml:space="preserve">             </w:t>
      </w:r>
    </w:p>
    <w:p w14:paraId="48CCB8B4">
      <w:pPr>
        <w:pStyle w:val="168"/>
        <w:pBdr>
          <w:bottom w:val="double" w:color="auto" w:sz="4" w:space="0"/>
        </w:pBdr>
        <w:rPr>
          <w:rFonts w:ascii="Times New Roman" w:hAnsi="Times New Roman" w:eastAsia="仿宋_GB2312"/>
          <w:kern w:val="0"/>
          <w:sz w:val="28"/>
          <w:szCs w:val="28"/>
          <w:u w:val="single"/>
        </w:rPr>
      </w:pPr>
    </w:p>
    <w:p w14:paraId="1BA5ABFB">
      <w:pPr>
        <w:pStyle w:val="168"/>
        <w:pBdr>
          <w:bottom w:val="double" w:color="auto" w:sz="4" w:space="0"/>
        </w:pBdr>
        <w:rPr>
          <w:rFonts w:ascii="Times New Roman" w:hAnsi="Times New Roman" w:eastAsia="仿宋_GB2312"/>
          <w:kern w:val="0"/>
          <w:sz w:val="28"/>
          <w:szCs w:val="28"/>
          <w:u w:val="single"/>
        </w:rPr>
      </w:pPr>
    </w:p>
    <w:p w14:paraId="332E22F0">
      <w:pPr>
        <w:pStyle w:val="168"/>
        <w:pBdr>
          <w:bottom w:val="double" w:color="auto" w:sz="4" w:space="0"/>
        </w:pBdr>
        <w:rPr>
          <w:rFonts w:ascii="Times New Roman" w:hAnsi="Times New Roman" w:eastAsia="仿宋_GB2312"/>
          <w:kern w:val="0"/>
          <w:sz w:val="28"/>
          <w:szCs w:val="28"/>
          <w:u w:val="single"/>
        </w:rPr>
      </w:pPr>
    </w:p>
    <w:p w14:paraId="669BB4A5">
      <w:pPr>
        <w:pStyle w:val="168"/>
        <w:pBdr>
          <w:bottom w:val="double" w:color="auto" w:sz="4" w:space="0"/>
        </w:pBdr>
        <w:rPr>
          <w:rFonts w:ascii="Times New Roman" w:hAnsi="Times New Roman" w:eastAsia="仿宋_GB2312"/>
          <w:kern w:val="0"/>
          <w:sz w:val="28"/>
          <w:szCs w:val="28"/>
          <w:u w:val="single"/>
        </w:rPr>
      </w:pPr>
    </w:p>
    <w:p w14:paraId="49913531">
      <w:pPr>
        <w:pStyle w:val="168"/>
        <w:pBdr>
          <w:bottom w:val="double" w:color="auto" w:sz="4" w:space="0"/>
        </w:pBdr>
        <w:rPr>
          <w:rFonts w:ascii="Times New Roman" w:hAnsi="Times New Roman" w:eastAsia="仿宋_GB2312"/>
          <w:kern w:val="0"/>
          <w:sz w:val="28"/>
          <w:szCs w:val="28"/>
          <w:u w:val="single"/>
        </w:rPr>
      </w:pPr>
    </w:p>
    <w:p w14:paraId="225BCDA7">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p w14:paraId="4467B188">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1、中标人为代理商且为残疾人福利性单位的，随中标、成交结果同时公告制造商的《残疾人福利性单位声明函》，接受社会监督。</w:t>
      </w:r>
    </w:p>
    <w:p w14:paraId="2C4AF5E8">
      <w:pPr>
        <w:ind w:firstLine="420" w:firstLineChars="200"/>
        <w:rPr>
          <w:rFonts w:hint="default" w:ascii="Times New Roman" w:hAnsi="Times New Roman" w:cs="Times New Roman"/>
          <w:b/>
          <w:color w:val="auto"/>
          <w:sz w:val="32"/>
          <w:szCs w:val="20"/>
          <w:lang w:eastAsia="zh-CN"/>
        </w:rPr>
      </w:pPr>
      <w:r>
        <w:rPr>
          <w:rFonts w:hint="default" w:ascii="Times New Roman" w:hAnsi="Times New Roman" w:eastAsia="宋体" w:cs="Times New Roman"/>
          <w:color w:val="auto"/>
          <w:lang w:val="en-US" w:eastAsia="zh-CN"/>
        </w:rPr>
        <w:t>2、</w:t>
      </w:r>
      <w:r>
        <w:rPr>
          <w:rFonts w:ascii="Times New Roman" w:hAnsi="Times New Roman" w:eastAsia="宋体" w:cs="Times New Roman"/>
          <w:color w:val="auto"/>
          <w:lang w:val="en-US" w:eastAsia="zh-CN"/>
        </w:rPr>
        <w:t>投标人</w:t>
      </w:r>
      <w:r>
        <w:rPr>
          <w:rFonts w:hint="default" w:ascii="Times New Roman" w:hAnsi="Times New Roman" w:eastAsia="宋体" w:cs="Times New Roman"/>
          <w:color w:val="auto"/>
          <w:lang w:val="en-US" w:eastAsia="zh-CN"/>
        </w:rPr>
        <w:t>提供的《残疾人福利性单位声明函》与事实不符的，依照《政府采购法》第七十七条第一款的规定追究法律责任。</w:t>
      </w:r>
      <w:r>
        <w:rPr>
          <w:rFonts w:hint="default" w:ascii="Times New Roman" w:hAnsi="Times New Roman" w:cs="Times New Roman"/>
          <w:b/>
          <w:color w:val="auto"/>
          <w:sz w:val="32"/>
          <w:szCs w:val="20"/>
          <w:lang w:eastAsia="zh-CN"/>
        </w:rPr>
        <w:br w:type="page"/>
      </w:r>
    </w:p>
    <w:p w14:paraId="3F41A8CA">
      <w:pPr>
        <w:spacing w:line="360" w:lineRule="auto"/>
        <w:jc w:val="center"/>
        <w:rPr>
          <w:rFonts w:hint="default" w:ascii="Times New Roman" w:hAnsi="Times New Roman" w:eastAsia="宋体" w:cs="Times New Roman"/>
          <w:b/>
          <w:bCs/>
          <w:color w:val="auto"/>
          <w:sz w:val="28"/>
          <w:szCs w:val="28"/>
          <w:lang w:eastAsia="zh-CN"/>
        </w:rPr>
      </w:pPr>
      <w:r>
        <w:rPr>
          <w:rFonts w:ascii="Times New Roman" w:hAnsi="Times New Roman" w:eastAsia="宋体" w:cs="Times New Roman"/>
          <w:b/>
          <w:bCs/>
          <w:color w:val="auto"/>
          <w:sz w:val="28"/>
          <w:szCs w:val="28"/>
          <w:lang w:eastAsia="zh-CN"/>
        </w:rPr>
        <w:t>商品包装和快递包装承诺书</w:t>
      </w:r>
    </w:p>
    <w:p w14:paraId="3D980B91">
      <w:pPr>
        <w:spacing w:line="360" w:lineRule="auto"/>
        <w:rPr>
          <w:rFonts w:hint="default" w:ascii="Times New Roman" w:hAnsi="Times New Roman" w:eastAsia="仿宋_GB2312" w:cs="Times New Roman"/>
          <w:color w:val="auto"/>
          <w:sz w:val="28"/>
          <w:szCs w:val="28"/>
          <w:lang w:eastAsia="zh-CN"/>
        </w:rPr>
      </w:pPr>
    </w:p>
    <w:p w14:paraId="4FC6D583">
      <w:pPr>
        <w:spacing w:line="360" w:lineRule="auto"/>
        <w:rPr>
          <w:rFonts w:hint="default" w:ascii="仿宋_GB2312" w:hAnsi="Times New Roman" w:eastAsia="仿宋_GB2312" w:cs="Times New Roman"/>
          <w:color w:val="auto"/>
          <w:sz w:val="28"/>
          <w:szCs w:val="28"/>
          <w:lang w:val="en" w:eastAsia="zh-CN"/>
        </w:rPr>
      </w:pPr>
      <w:r>
        <w:rPr>
          <w:rFonts w:ascii="仿宋_GB2312" w:hAnsi="Times New Roman" w:eastAsia="仿宋_GB2312" w:cs="Times New Roman"/>
          <w:color w:val="auto"/>
          <w:sz w:val="28"/>
          <w:szCs w:val="28"/>
          <w:lang w:eastAsia="zh-CN"/>
        </w:rPr>
        <w:t>致：</w:t>
      </w:r>
      <w:r>
        <w:rPr>
          <w:rFonts w:ascii="仿宋_GB2312" w:hAnsi="Times New Roman" w:eastAsia="仿宋_GB2312" w:cs="Times New Roman"/>
          <w:color w:val="auto"/>
          <w:sz w:val="28"/>
          <w:szCs w:val="28"/>
          <w:u w:val="single"/>
          <w:lang w:val="en" w:eastAsia="zh-CN"/>
        </w:rPr>
        <w:t>新乡医学院第一附属医院</w:t>
      </w:r>
    </w:p>
    <w:p w14:paraId="67FDE903">
      <w:pPr>
        <w:spacing w:line="360" w:lineRule="auto"/>
        <w:ind w:firstLine="60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我（单位/本人，以下统称我单位）自愿参加采购项目编号为</w:t>
      </w:r>
      <w:r>
        <w:rPr>
          <w:rFonts w:ascii="仿宋_GB2312" w:hAnsi="Times New Roman" w:eastAsia="仿宋_GB2312" w:cs="Times New Roman"/>
          <w:color w:val="auto"/>
          <w:sz w:val="28"/>
          <w:szCs w:val="28"/>
          <w:u w:val="single"/>
          <w:lang w:val="en" w:eastAsia="zh-CN"/>
        </w:rPr>
        <w:t>豫财招标采购-2024-1257</w:t>
      </w:r>
      <w:r>
        <w:rPr>
          <w:rFonts w:ascii="仿宋_GB2312" w:hAnsi="Times New Roman" w:eastAsia="仿宋_GB2312" w:cs="Times New Roman"/>
          <w:color w:val="auto"/>
          <w:sz w:val="28"/>
          <w:szCs w:val="28"/>
          <w:u w:val="single"/>
          <w:lang w:val="en-US" w:eastAsia="zh-CN"/>
        </w:rPr>
        <w:t xml:space="preserve"> </w:t>
      </w:r>
      <w:r>
        <w:rPr>
          <w:rFonts w:ascii="仿宋_GB2312" w:hAnsi="Times New Roman" w:eastAsia="仿宋_GB2312" w:cs="Times New Roman"/>
          <w:color w:val="auto"/>
          <w:sz w:val="28"/>
          <w:szCs w:val="28"/>
          <w:u w:val="single"/>
          <w:lang w:val="en" w:eastAsia="zh-CN"/>
        </w:rPr>
        <w:t>新乡医学院第一附属医院信息化基础设施及安全能力提升项目</w:t>
      </w:r>
      <w:r>
        <w:rPr>
          <w:rFonts w:ascii="仿宋_GB2312" w:hAnsi="Times New Roman" w:eastAsia="仿宋_GB2312" w:cs="Times New Roman"/>
          <w:color w:val="auto"/>
          <w:sz w:val="28"/>
          <w:szCs w:val="28"/>
          <w:lang w:eastAsia="zh-CN"/>
        </w:rPr>
        <w:t>的投标,并做出如下承诺：</w:t>
      </w:r>
    </w:p>
    <w:p w14:paraId="7F67FE33">
      <w:pPr>
        <w:spacing w:line="520" w:lineRule="exact"/>
        <w:ind w:firstLine="560" w:firstLineChars="200"/>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为助力打好污染防治攻坚战，推广使用绿色包装，我公司响应《财政部等三部门联合印发商品包装和快递包装政府采购需求标准》（试行）(财办库〔2020〕123号文)的有关规定。承诺严格按照《商品包装政府采购需求标准（试行）》、《快递包装政府采购需求标准（试行）》的条款执行。</w:t>
      </w:r>
    </w:p>
    <w:p w14:paraId="4CDD91A1">
      <w:pPr>
        <w:spacing w:line="520" w:lineRule="exact"/>
        <w:ind w:firstLine="560" w:firstLineChars="200"/>
        <w:rPr>
          <w:rFonts w:ascii="仿宋_GB2312" w:hAnsi="仿宋_GB2312" w:eastAsia="仿宋_GB2312" w:cs="仿宋_GB2312"/>
          <w:color w:val="auto"/>
          <w:sz w:val="28"/>
          <w:szCs w:val="28"/>
          <w:lang w:val="en" w:eastAsia="zh-CN"/>
        </w:rPr>
      </w:pPr>
      <w:r>
        <w:rPr>
          <w:rFonts w:ascii="仿宋_GB2312" w:hAnsi="仿宋_GB2312" w:eastAsia="仿宋_GB2312" w:cs="仿宋_GB2312"/>
          <w:color w:val="auto"/>
          <w:sz w:val="28"/>
          <w:szCs w:val="28"/>
          <w:lang w:eastAsia="zh-CN"/>
        </w:rPr>
        <w:t>我公司对以上承诺书内容的真实性负责，并承担相应的法律责任。</w:t>
      </w:r>
      <w:r>
        <w:rPr>
          <w:rFonts w:hint="default" w:ascii="仿宋_GB2312" w:hAnsi="仿宋_GB2312" w:eastAsia="仿宋_GB2312" w:cs="仿宋_GB2312"/>
          <w:color w:val="auto"/>
          <w:sz w:val="28"/>
          <w:szCs w:val="28"/>
          <w:lang w:val="en" w:eastAsia="zh-CN"/>
        </w:rPr>
        <w:t xml:space="preserve">                    </w:t>
      </w:r>
    </w:p>
    <w:p w14:paraId="6C9463A0">
      <w:pPr>
        <w:pStyle w:val="17"/>
        <w:rPr>
          <w:rFonts w:hint="eastAsia" w:ascii="仿宋_GB2312" w:hAnsi="仿宋_GB2312" w:eastAsia="仿宋_GB2312" w:cs="仿宋_GB2312"/>
          <w:color w:val="auto"/>
          <w:kern w:val="2"/>
          <w:sz w:val="28"/>
          <w:szCs w:val="28"/>
          <w:lang w:val="en"/>
        </w:rPr>
      </w:pPr>
    </w:p>
    <w:p w14:paraId="53225D4E">
      <w:pPr>
        <w:pStyle w:val="39"/>
        <w:ind w:left="838" w:hanging="560"/>
        <w:rPr>
          <w:rFonts w:ascii="仿宋_GB2312" w:hAnsi="仿宋_GB2312" w:eastAsia="仿宋_GB2312" w:cs="仿宋_GB2312"/>
          <w:color w:val="auto"/>
          <w:sz w:val="28"/>
          <w:szCs w:val="28"/>
          <w:lang w:val="en" w:eastAsia="zh-CN"/>
        </w:rPr>
      </w:pPr>
    </w:p>
    <w:p w14:paraId="691D2D51">
      <w:pPr>
        <w:rPr>
          <w:color w:val="auto"/>
          <w:lang w:val="en" w:eastAsia="zh-CN"/>
        </w:rPr>
      </w:pPr>
    </w:p>
    <w:p w14:paraId="772306A8">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5B2D256E">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0A2C54D1">
      <w:pPr>
        <w:tabs>
          <w:tab w:val="left" w:pos="4860"/>
        </w:tabs>
        <w:spacing w:line="360" w:lineRule="auto"/>
        <w:ind w:right="1560" w:firstLine="444" w:firstLineChars="200"/>
        <w:jc w:val="center"/>
        <w:rPr>
          <w:rFonts w:hint="default" w:ascii="Times New Roman" w:hAnsi="Times New Roman" w:cs="Times New Roman"/>
          <w:color w:val="auto"/>
          <w:spacing w:val="6"/>
          <w:lang w:eastAsia="zh-CN"/>
        </w:rPr>
      </w:pPr>
    </w:p>
    <w:p w14:paraId="33AD9827">
      <w:pPr>
        <w:ind w:firstLine="420" w:firstLineChars="200"/>
        <w:rPr>
          <w:rFonts w:hint="default" w:ascii="Times New Roman" w:hAnsi="Times New Roman" w:eastAsia="宋体" w:cs="Times New Roman"/>
          <w:color w:val="auto"/>
          <w:lang w:val="en-US" w:eastAsia="zh-CN"/>
        </w:rPr>
      </w:pPr>
    </w:p>
    <w:p w14:paraId="5BFF35B8">
      <w:pPr>
        <w:ind w:firstLine="420" w:firstLineChars="200"/>
        <w:rPr>
          <w:rFonts w:hint="default" w:ascii="Times New Roman" w:hAnsi="Times New Roman" w:eastAsia="宋体" w:cs="Times New Roman"/>
          <w:color w:val="auto"/>
          <w:lang w:val="en-US" w:eastAsia="zh-CN"/>
        </w:rPr>
      </w:pPr>
    </w:p>
    <w:p w14:paraId="2B92D051">
      <w:pPr>
        <w:spacing w:line="360" w:lineRule="auto"/>
        <w:jc w:val="center"/>
        <w:outlineLvl w:val="1"/>
        <w:rPr>
          <w:rFonts w:hint="default" w:ascii="Times New Roman" w:hAnsi="Times New Roman" w:eastAsia="方正小标宋_GBK" w:cs="Times New Roman"/>
          <w:bCs/>
          <w:color w:val="auto"/>
          <w:kern w:val="0"/>
          <w:sz w:val="30"/>
          <w:szCs w:val="30"/>
          <w:lang w:eastAsia="zh-CN"/>
        </w:rPr>
      </w:pPr>
      <w:r>
        <w:rPr>
          <w:rFonts w:hint="default" w:ascii="Times New Roman" w:hAnsi="Times New Roman" w:cs="Times New Roman"/>
          <w:b/>
          <w:color w:val="auto"/>
          <w:sz w:val="32"/>
          <w:szCs w:val="20"/>
          <w:lang w:eastAsia="zh-CN"/>
        </w:rPr>
        <w:br w:type="page"/>
      </w:r>
      <w:r>
        <w:rPr>
          <w:rFonts w:hint="default" w:ascii="Times New Roman" w:hAnsi="Times New Roman" w:eastAsia="方正小标宋_GBK" w:cs="Times New Roman"/>
          <w:bCs/>
          <w:color w:val="auto"/>
          <w:kern w:val="0"/>
          <w:sz w:val="30"/>
          <w:szCs w:val="30"/>
          <w:lang w:val="en-US" w:eastAsia="zh-CN"/>
        </w:rPr>
        <w:t>六、</w:t>
      </w:r>
      <w:r>
        <w:rPr>
          <w:rFonts w:hint="default" w:ascii="Times New Roman" w:hAnsi="Times New Roman" w:eastAsia="方正小标宋_GBK" w:cs="Times New Roman"/>
          <w:bCs/>
          <w:color w:val="auto"/>
          <w:kern w:val="0"/>
          <w:sz w:val="30"/>
          <w:szCs w:val="30"/>
          <w:lang w:eastAsia="zh-CN"/>
        </w:rPr>
        <w:t>商务条款偏离表</w:t>
      </w:r>
      <w:bookmarkEnd w:id="395"/>
      <w:bookmarkEnd w:id="396"/>
      <w:bookmarkEnd w:id="406"/>
      <w:bookmarkEnd w:id="407"/>
      <w:bookmarkEnd w:id="408"/>
      <w:bookmarkEnd w:id="409"/>
      <w:bookmarkEnd w:id="410"/>
    </w:p>
    <w:p w14:paraId="30C0F8E4">
      <w:pPr>
        <w:pStyle w:val="25"/>
        <w:spacing w:line="360" w:lineRule="auto"/>
        <w:ind w:left="269" w:leftChars="128"/>
        <w:rPr>
          <w:rFonts w:ascii="Times New Roman" w:hAnsi="Times New Roman"/>
          <w:sz w:val="24"/>
          <w:szCs w:val="24"/>
          <w:lang w:eastAsia="zh-CN"/>
        </w:rPr>
      </w:pPr>
      <w:r>
        <w:rPr>
          <w:rFonts w:ascii="Times New Roman" w:hAnsi="Times New Roman"/>
          <w:sz w:val="24"/>
          <w:szCs w:val="24"/>
          <w:lang w:eastAsia="zh-CN"/>
        </w:rPr>
        <w:t xml:space="preserve">  </w:t>
      </w:r>
    </w:p>
    <w:tbl>
      <w:tblPr>
        <w:tblStyle w:val="51"/>
        <w:tblW w:w="0" w:type="auto"/>
        <w:tblInd w:w="-10" w:type="dxa"/>
        <w:tblLayout w:type="fixed"/>
        <w:tblCellMar>
          <w:top w:w="0" w:type="dxa"/>
          <w:left w:w="108" w:type="dxa"/>
          <w:bottom w:w="0" w:type="dxa"/>
          <w:right w:w="108" w:type="dxa"/>
        </w:tblCellMar>
      </w:tblPr>
      <w:tblGrid>
        <w:gridCol w:w="5775"/>
        <w:gridCol w:w="2738"/>
      </w:tblGrid>
      <w:tr w14:paraId="4F6B5345">
        <w:tc>
          <w:tcPr>
            <w:tcW w:w="5775" w:type="dxa"/>
          </w:tcPr>
          <w:p w14:paraId="56816E71">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豫财招标采购-2024-1257</w:t>
            </w:r>
          </w:p>
        </w:tc>
        <w:tc>
          <w:tcPr>
            <w:tcW w:w="2738" w:type="dxa"/>
          </w:tcPr>
          <w:p w14:paraId="7DDF6E61">
            <w:pPr>
              <w:spacing w:line="440" w:lineRule="exact"/>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金额单位：元人民币</w:t>
            </w:r>
          </w:p>
        </w:tc>
      </w:tr>
    </w:tbl>
    <w:p w14:paraId="2B86C431">
      <w:pPr>
        <w:pStyle w:val="25"/>
        <w:spacing w:line="360" w:lineRule="auto"/>
        <w:ind w:left="269" w:leftChars="128"/>
        <w:rPr>
          <w:rFonts w:ascii="Times New Roman" w:hAnsi="Times New Roman"/>
          <w:sz w:val="2"/>
          <w:szCs w:val="2"/>
        </w:rPr>
      </w:pP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3109"/>
        <w:gridCol w:w="3109"/>
        <w:gridCol w:w="1110"/>
      </w:tblGrid>
      <w:tr w14:paraId="6D3AF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169" w:type="dxa"/>
            <w:vAlign w:val="center"/>
          </w:tcPr>
          <w:p w14:paraId="4C63EEDC">
            <w:pPr>
              <w:pStyle w:val="25"/>
              <w:spacing w:line="360" w:lineRule="auto"/>
              <w:jc w:val="center"/>
              <w:rPr>
                <w:rFonts w:ascii="仿宋_GB2312" w:hAnsi="Times New Roman" w:eastAsia="仿宋_GB2312"/>
                <w:b/>
                <w:kern w:val="2"/>
                <w:sz w:val="28"/>
                <w:szCs w:val="28"/>
                <w:lang w:val="en-US" w:eastAsia="zh-CN"/>
              </w:rPr>
            </w:pPr>
            <w:r>
              <w:rPr>
                <w:rFonts w:hint="eastAsia" w:ascii="仿宋_GB2312" w:hAnsi="Times New Roman" w:eastAsia="仿宋_GB2312"/>
                <w:b/>
                <w:kern w:val="2"/>
                <w:sz w:val="28"/>
                <w:szCs w:val="28"/>
                <w:lang w:val="en-US" w:eastAsia="zh-CN"/>
              </w:rPr>
              <w:t>序号</w:t>
            </w:r>
          </w:p>
        </w:tc>
        <w:tc>
          <w:tcPr>
            <w:tcW w:w="3109" w:type="dxa"/>
            <w:vAlign w:val="center"/>
          </w:tcPr>
          <w:p w14:paraId="28FE3AC6">
            <w:pPr>
              <w:pStyle w:val="25"/>
              <w:spacing w:line="360" w:lineRule="auto"/>
              <w:jc w:val="center"/>
              <w:rPr>
                <w:rFonts w:ascii="仿宋_GB2312" w:hAnsi="Times New Roman" w:eastAsia="仿宋_GB2312"/>
                <w:b/>
                <w:kern w:val="2"/>
                <w:sz w:val="28"/>
                <w:szCs w:val="28"/>
                <w:lang w:val="en-US" w:eastAsia="zh-CN"/>
              </w:rPr>
            </w:pPr>
            <w:r>
              <w:rPr>
                <w:rFonts w:hint="eastAsia" w:ascii="仿宋_GB2312" w:hAnsi="Times New Roman" w:eastAsia="仿宋_GB2312"/>
                <w:b/>
                <w:kern w:val="2"/>
                <w:sz w:val="28"/>
                <w:szCs w:val="28"/>
                <w:lang w:val="en-US" w:eastAsia="zh-CN"/>
              </w:rPr>
              <w:t>招标文件的商务条款</w:t>
            </w:r>
          </w:p>
        </w:tc>
        <w:tc>
          <w:tcPr>
            <w:tcW w:w="3109" w:type="dxa"/>
            <w:vAlign w:val="center"/>
          </w:tcPr>
          <w:p w14:paraId="5E081EAF">
            <w:pPr>
              <w:pStyle w:val="25"/>
              <w:spacing w:line="360" w:lineRule="auto"/>
              <w:jc w:val="center"/>
              <w:rPr>
                <w:rFonts w:ascii="仿宋_GB2312" w:hAnsi="Times New Roman" w:eastAsia="仿宋_GB2312"/>
                <w:b/>
                <w:kern w:val="2"/>
                <w:sz w:val="28"/>
                <w:szCs w:val="28"/>
                <w:lang w:val="en-US" w:eastAsia="zh-CN"/>
              </w:rPr>
            </w:pPr>
            <w:r>
              <w:rPr>
                <w:rFonts w:hint="eastAsia" w:ascii="仿宋_GB2312" w:hAnsi="Times New Roman" w:eastAsia="仿宋_GB2312"/>
                <w:b/>
                <w:kern w:val="2"/>
                <w:sz w:val="28"/>
                <w:szCs w:val="28"/>
                <w:lang w:val="en-US" w:eastAsia="zh-CN"/>
              </w:rPr>
              <w:t>投标文件的商务条款</w:t>
            </w:r>
          </w:p>
        </w:tc>
        <w:tc>
          <w:tcPr>
            <w:tcW w:w="1110" w:type="dxa"/>
            <w:vAlign w:val="center"/>
          </w:tcPr>
          <w:p w14:paraId="1231BB5D">
            <w:pPr>
              <w:pStyle w:val="25"/>
              <w:spacing w:line="360" w:lineRule="auto"/>
              <w:jc w:val="center"/>
              <w:rPr>
                <w:rFonts w:ascii="仿宋_GB2312" w:hAnsi="Times New Roman" w:eastAsia="仿宋_GB2312"/>
                <w:b/>
                <w:kern w:val="2"/>
                <w:sz w:val="28"/>
                <w:szCs w:val="28"/>
                <w:lang w:val="en-US" w:eastAsia="zh-CN"/>
              </w:rPr>
            </w:pPr>
            <w:r>
              <w:rPr>
                <w:rFonts w:hint="eastAsia" w:ascii="仿宋_GB2312" w:hAnsi="Times New Roman" w:eastAsia="仿宋_GB2312"/>
                <w:b/>
                <w:kern w:val="2"/>
                <w:sz w:val="28"/>
                <w:szCs w:val="28"/>
                <w:lang w:val="en-US" w:eastAsia="zh-CN"/>
              </w:rPr>
              <w:t>说明</w:t>
            </w:r>
          </w:p>
        </w:tc>
      </w:tr>
      <w:tr w14:paraId="4565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79A6051F">
            <w:pPr>
              <w:pStyle w:val="25"/>
              <w:spacing w:line="360" w:lineRule="auto"/>
              <w:ind w:left="540" w:leftChars="257" w:firstLine="480"/>
              <w:rPr>
                <w:rFonts w:ascii="仿宋_GB2312" w:hAnsi="Times New Roman" w:eastAsia="仿宋_GB2312"/>
                <w:kern w:val="2"/>
                <w:sz w:val="28"/>
                <w:szCs w:val="28"/>
                <w:lang w:val="en-US" w:eastAsia="zh-CN"/>
              </w:rPr>
            </w:pPr>
          </w:p>
        </w:tc>
        <w:tc>
          <w:tcPr>
            <w:tcW w:w="3109" w:type="dxa"/>
          </w:tcPr>
          <w:p w14:paraId="48462AD5">
            <w:pPr>
              <w:pStyle w:val="25"/>
              <w:spacing w:line="360" w:lineRule="auto"/>
              <w:ind w:left="540" w:leftChars="257" w:firstLine="480"/>
              <w:jc w:val="center"/>
              <w:rPr>
                <w:rFonts w:ascii="仿宋_GB2312" w:hAnsi="Times New Roman" w:eastAsia="仿宋_GB2312"/>
                <w:kern w:val="2"/>
                <w:sz w:val="28"/>
                <w:szCs w:val="28"/>
                <w:lang w:val="en-US" w:eastAsia="zh-CN"/>
              </w:rPr>
            </w:pPr>
          </w:p>
        </w:tc>
        <w:tc>
          <w:tcPr>
            <w:tcW w:w="3109" w:type="dxa"/>
          </w:tcPr>
          <w:p w14:paraId="575C6326">
            <w:pPr>
              <w:pStyle w:val="25"/>
              <w:spacing w:line="360" w:lineRule="auto"/>
              <w:ind w:left="540" w:leftChars="257" w:firstLine="480"/>
              <w:jc w:val="center"/>
              <w:rPr>
                <w:rFonts w:ascii="仿宋_GB2312" w:hAnsi="Times New Roman" w:eastAsia="仿宋_GB2312"/>
                <w:kern w:val="2"/>
                <w:sz w:val="28"/>
                <w:szCs w:val="28"/>
                <w:lang w:val="en-US" w:eastAsia="zh-CN"/>
              </w:rPr>
            </w:pPr>
          </w:p>
        </w:tc>
        <w:tc>
          <w:tcPr>
            <w:tcW w:w="1110" w:type="dxa"/>
          </w:tcPr>
          <w:p w14:paraId="151E01F5">
            <w:pPr>
              <w:pStyle w:val="25"/>
              <w:spacing w:line="360" w:lineRule="auto"/>
              <w:ind w:left="540" w:leftChars="257" w:firstLine="480"/>
              <w:rPr>
                <w:rFonts w:ascii="仿宋_GB2312" w:hAnsi="Times New Roman" w:eastAsia="仿宋_GB2312"/>
                <w:kern w:val="2"/>
                <w:sz w:val="28"/>
                <w:szCs w:val="28"/>
                <w:lang w:val="en-US" w:eastAsia="zh-CN"/>
              </w:rPr>
            </w:pPr>
          </w:p>
        </w:tc>
      </w:tr>
      <w:tr w14:paraId="08B3A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1FC2C849">
            <w:pPr>
              <w:pStyle w:val="25"/>
              <w:spacing w:line="360" w:lineRule="auto"/>
              <w:ind w:left="540" w:leftChars="257" w:firstLine="480"/>
              <w:rPr>
                <w:rFonts w:ascii="仿宋_GB2312" w:hAnsi="Times New Roman" w:eastAsia="仿宋_GB2312"/>
                <w:kern w:val="2"/>
                <w:sz w:val="28"/>
                <w:szCs w:val="28"/>
                <w:lang w:val="en-US" w:eastAsia="zh-CN"/>
              </w:rPr>
            </w:pPr>
          </w:p>
        </w:tc>
        <w:tc>
          <w:tcPr>
            <w:tcW w:w="3109" w:type="dxa"/>
          </w:tcPr>
          <w:p w14:paraId="68E89BB6">
            <w:pPr>
              <w:pStyle w:val="25"/>
              <w:spacing w:line="360" w:lineRule="auto"/>
              <w:ind w:left="540" w:leftChars="257" w:firstLine="480"/>
              <w:rPr>
                <w:rFonts w:ascii="仿宋_GB2312" w:hAnsi="Times New Roman" w:eastAsia="仿宋_GB2312"/>
                <w:kern w:val="2"/>
                <w:sz w:val="28"/>
                <w:szCs w:val="28"/>
                <w:lang w:val="en-US" w:eastAsia="zh-CN"/>
              </w:rPr>
            </w:pPr>
          </w:p>
        </w:tc>
        <w:tc>
          <w:tcPr>
            <w:tcW w:w="3109" w:type="dxa"/>
          </w:tcPr>
          <w:p w14:paraId="3C6E0BD4">
            <w:pPr>
              <w:pStyle w:val="25"/>
              <w:spacing w:line="360" w:lineRule="auto"/>
              <w:ind w:left="540" w:leftChars="257" w:firstLine="480"/>
              <w:rPr>
                <w:rFonts w:ascii="仿宋_GB2312" w:hAnsi="Times New Roman" w:eastAsia="仿宋_GB2312"/>
                <w:kern w:val="2"/>
                <w:sz w:val="28"/>
                <w:szCs w:val="28"/>
                <w:lang w:val="en-US" w:eastAsia="zh-CN"/>
              </w:rPr>
            </w:pPr>
          </w:p>
        </w:tc>
        <w:tc>
          <w:tcPr>
            <w:tcW w:w="1110" w:type="dxa"/>
          </w:tcPr>
          <w:p w14:paraId="37CF4AFE">
            <w:pPr>
              <w:pStyle w:val="25"/>
              <w:spacing w:line="360" w:lineRule="auto"/>
              <w:ind w:left="540" w:leftChars="257" w:firstLine="480"/>
              <w:rPr>
                <w:rFonts w:ascii="仿宋_GB2312" w:hAnsi="Times New Roman" w:eastAsia="仿宋_GB2312"/>
                <w:kern w:val="2"/>
                <w:sz w:val="28"/>
                <w:szCs w:val="28"/>
                <w:lang w:val="en-US" w:eastAsia="zh-CN"/>
              </w:rPr>
            </w:pPr>
          </w:p>
        </w:tc>
      </w:tr>
      <w:tr w14:paraId="1C43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2EC37074">
            <w:pPr>
              <w:pStyle w:val="25"/>
              <w:spacing w:line="360" w:lineRule="auto"/>
              <w:ind w:left="540" w:leftChars="257" w:firstLine="480"/>
              <w:rPr>
                <w:rFonts w:ascii="仿宋_GB2312" w:hAnsi="Times New Roman" w:eastAsia="仿宋_GB2312"/>
                <w:kern w:val="2"/>
                <w:sz w:val="28"/>
                <w:szCs w:val="28"/>
                <w:lang w:val="en-US" w:eastAsia="zh-CN"/>
              </w:rPr>
            </w:pPr>
          </w:p>
        </w:tc>
        <w:tc>
          <w:tcPr>
            <w:tcW w:w="3109" w:type="dxa"/>
          </w:tcPr>
          <w:p w14:paraId="21A7DD2A">
            <w:pPr>
              <w:pStyle w:val="25"/>
              <w:spacing w:line="360" w:lineRule="auto"/>
              <w:ind w:left="540" w:leftChars="257" w:firstLine="480"/>
              <w:rPr>
                <w:rFonts w:ascii="仿宋_GB2312" w:hAnsi="Times New Roman" w:eastAsia="仿宋_GB2312"/>
                <w:kern w:val="2"/>
                <w:sz w:val="28"/>
                <w:szCs w:val="28"/>
                <w:lang w:val="en-US" w:eastAsia="zh-CN"/>
              </w:rPr>
            </w:pPr>
          </w:p>
        </w:tc>
        <w:tc>
          <w:tcPr>
            <w:tcW w:w="3109" w:type="dxa"/>
          </w:tcPr>
          <w:p w14:paraId="433347E0">
            <w:pPr>
              <w:pStyle w:val="25"/>
              <w:spacing w:line="360" w:lineRule="auto"/>
              <w:ind w:left="540" w:leftChars="257" w:firstLine="480"/>
              <w:rPr>
                <w:rFonts w:ascii="仿宋_GB2312" w:hAnsi="Times New Roman" w:eastAsia="仿宋_GB2312"/>
                <w:kern w:val="2"/>
                <w:sz w:val="28"/>
                <w:szCs w:val="28"/>
                <w:lang w:val="en-US" w:eastAsia="zh-CN"/>
              </w:rPr>
            </w:pPr>
          </w:p>
        </w:tc>
        <w:tc>
          <w:tcPr>
            <w:tcW w:w="1110" w:type="dxa"/>
          </w:tcPr>
          <w:p w14:paraId="08EE1C60">
            <w:pPr>
              <w:pStyle w:val="25"/>
              <w:spacing w:line="360" w:lineRule="auto"/>
              <w:ind w:left="540" w:leftChars="257" w:firstLine="480"/>
              <w:rPr>
                <w:rFonts w:ascii="仿宋_GB2312" w:hAnsi="Times New Roman" w:eastAsia="仿宋_GB2312"/>
                <w:kern w:val="2"/>
                <w:sz w:val="28"/>
                <w:szCs w:val="28"/>
                <w:lang w:val="en-US" w:eastAsia="zh-CN"/>
              </w:rPr>
            </w:pPr>
          </w:p>
        </w:tc>
      </w:tr>
      <w:tr w14:paraId="057C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3D69AB35">
            <w:pPr>
              <w:pStyle w:val="25"/>
              <w:spacing w:line="360" w:lineRule="auto"/>
              <w:ind w:left="540" w:leftChars="257" w:firstLine="480"/>
              <w:rPr>
                <w:rFonts w:ascii="仿宋_GB2312" w:hAnsi="Times New Roman" w:eastAsia="仿宋_GB2312"/>
                <w:kern w:val="2"/>
                <w:sz w:val="28"/>
                <w:szCs w:val="28"/>
                <w:lang w:val="en-US" w:eastAsia="zh-CN"/>
              </w:rPr>
            </w:pPr>
          </w:p>
        </w:tc>
        <w:tc>
          <w:tcPr>
            <w:tcW w:w="3109" w:type="dxa"/>
          </w:tcPr>
          <w:p w14:paraId="05FB3AF6">
            <w:pPr>
              <w:pStyle w:val="25"/>
              <w:spacing w:line="360" w:lineRule="auto"/>
              <w:ind w:left="540" w:leftChars="257" w:firstLine="480"/>
              <w:rPr>
                <w:rFonts w:ascii="仿宋_GB2312" w:hAnsi="Times New Roman" w:eastAsia="仿宋_GB2312"/>
                <w:kern w:val="2"/>
                <w:sz w:val="28"/>
                <w:szCs w:val="28"/>
                <w:lang w:val="en-US" w:eastAsia="zh-CN"/>
              </w:rPr>
            </w:pPr>
          </w:p>
        </w:tc>
        <w:tc>
          <w:tcPr>
            <w:tcW w:w="3109" w:type="dxa"/>
          </w:tcPr>
          <w:p w14:paraId="73D0992C">
            <w:pPr>
              <w:pStyle w:val="25"/>
              <w:spacing w:line="360" w:lineRule="auto"/>
              <w:ind w:left="540" w:leftChars="257" w:firstLine="480"/>
              <w:rPr>
                <w:rFonts w:ascii="仿宋_GB2312" w:hAnsi="Times New Roman" w:eastAsia="仿宋_GB2312"/>
                <w:kern w:val="2"/>
                <w:sz w:val="28"/>
                <w:szCs w:val="28"/>
                <w:lang w:val="en-US" w:eastAsia="zh-CN"/>
              </w:rPr>
            </w:pPr>
          </w:p>
        </w:tc>
        <w:tc>
          <w:tcPr>
            <w:tcW w:w="1110" w:type="dxa"/>
          </w:tcPr>
          <w:p w14:paraId="3904940A">
            <w:pPr>
              <w:pStyle w:val="25"/>
              <w:spacing w:line="360" w:lineRule="auto"/>
              <w:ind w:left="540" w:leftChars="257" w:firstLine="480"/>
              <w:rPr>
                <w:rFonts w:ascii="仿宋_GB2312" w:hAnsi="Times New Roman" w:eastAsia="仿宋_GB2312"/>
                <w:kern w:val="2"/>
                <w:sz w:val="28"/>
                <w:szCs w:val="28"/>
                <w:lang w:val="en-US" w:eastAsia="zh-CN"/>
              </w:rPr>
            </w:pPr>
          </w:p>
        </w:tc>
      </w:tr>
      <w:tr w14:paraId="5986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62454DCC">
            <w:pPr>
              <w:pStyle w:val="25"/>
              <w:spacing w:line="360" w:lineRule="auto"/>
              <w:ind w:left="540" w:leftChars="257" w:firstLine="480"/>
              <w:rPr>
                <w:rFonts w:ascii="仿宋_GB2312" w:hAnsi="Times New Roman" w:eastAsia="仿宋_GB2312"/>
                <w:kern w:val="2"/>
                <w:sz w:val="28"/>
                <w:szCs w:val="28"/>
                <w:lang w:val="en-US" w:eastAsia="zh-CN"/>
              </w:rPr>
            </w:pPr>
          </w:p>
        </w:tc>
        <w:tc>
          <w:tcPr>
            <w:tcW w:w="3109" w:type="dxa"/>
          </w:tcPr>
          <w:p w14:paraId="6934A3A1">
            <w:pPr>
              <w:pStyle w:val="25"/>
              <w:spacing w:line="360" w:lineRule="auto"/>
              <w:ind w:left="540" w:leftChars="257" w:firstLine="480"/>
              <w:rPr>
                <w:rFonts w:ascii="仿宋_GB2312" w:hAnsi="Times New Roman" w:eastAsia="仿宋_GB2312"/>
                <w:kern w:val="2"/>
                <w:sz w:val="28"/>
                <w:szCs w:val="28"/>
                <w:lang w:val="en-US" w:eastAsia="zh-CN"/>
              </w:rPr>
            </w:pPr>
          </w:p>
        </w:tc>
        <w:tc>
          <w:tcPr>
            <w:tcW w:w="3109" w:type="dxa"/>
          </w:tcPr>
          <w:p w14:paraId="11571FBD">
            <w:pPr>
              <w:pStyle w:val="25"/>
              <w:spacing w:line="360" w:lineRule="auto"/>
              <w:ind w:left="540" w:leftChars="257" w:firstLine="480"/>
              <w:rPr>
                <w:rFonts w:ascii="仿宋_GB2312" w:hAnsi="Times New Roman" w:eastAsia="仿宋_GB2312"/>
                <w:kern w:val="2"/>
                <w:sz w:val="28"/>
                <w:szCs w:val="28"/>
                <w:lang w:val="en-US" w:eastAsia="zh-CN"/>
              </w:rPr>
            </w:pPr>
          </w:p>
        </w:tc>
        <w:tc>
          <w:tcPr>
            <w:tcW w:w="1110" w:type="dxa"/>
          </w:tcPr>
          <w:p w14:paraId="46DF07B5">
            <w:pPr>
              <w:pStyle w:val="25"/>
              <w:spacing w:line="360" w:lineRule="auto"/>
              <w:ind w:left="540" w:leftChars="257" w:firstLine="480"/>
              <w:rPr>
                <w:rFonts w:ascii="仿宋_GB2312" w:hAnsi="Times New Roman" w:eastAsia="仿宋_GB2312"/>
                <w:kern w:val="2"/>
                <w:sz w:val="28"/>
                <w:szCs w:val="28"/>
                <w:lang w:val="en-US" w:eastAsia="zh-CN"/>
              </w:rPr>
            </w:pPr>
          </w:p>
        </w:tc>
      </w:tr>
      <w:tr w14:paraId="629B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3E781EE0">
            <w:pPr>
              <w:pStyle w:val="25"/>
              <w:spacing w:line="360" w:lineRule="auto"/>
              <w:ind w:left="540" w:leftChars="257" w:firstLine="480"/>
              <w:rPr>
                <w:rFonts w:ascii="仿宋_GB2312" w:hAnsi="Times New Roman" w:eastAsia="仿宋_GB2312"/>
                <w:kern w:val="2"/>
                <w:sz w:val="28"/>
                <w:szCs w:val="28"/>
                <w:lang w:val="en-US" w:eastAsia="zh-CN"/>
              </w:rPr>
            </w:pPr>
          </w:p>
        </w:tc>
        <w:tc>
          <w:tcPr>
            <w:tcW w:w="3109" w:type="dxa"/>
          </w:tcPr>
          <w:p w14:paraId="3E71BB66">
            <w:pPr>
              <w:pStyle w:val="25"/>
              <w:spacing w:line="360" w:lineRule="auto"/>
              <w:ind w:left="540" w:leftChars="257" w:firstLine="480"/>
              <w:rPr>
                <w:rFonts w:ascii="仿宋_GB2312" w:hAnsi="Times New Roman" w:eastAsia="仿宋_GB2312"/>
                <w:kern w:val="2"/>
                <w:sz w:val="28"/>
                <w:szCs w:val="28"/>
                <w:lang w:val="en-US" w:eastAsia="zh-CN"/>
              </w:rPr>
            </w:pPr>
          </w:p>
        </w:tc>
        <w:tc>
          <w:tcPr>
            <w:tcW w:w="3109" w:type="dxa"/>
          </w:tcPr>
          <w:p w14:paraId="3588AB3F">
            <w:pPr>
              <w:pStyle w:val="25"/>
              <w:spacing w:line="360" w:lineRule="auto"/>
              <w:ind w:left="540" w:leftChars="257" w:firstLine="480"/>
              <w:rPr>
                <w:rFonts w:ascii="仿宋_GB2312" w:hAnsi="Times New Roman" w:eastAsia="仿宋_GB2312"/>
                <w:kern w:val="2"/>
                <w:sz w:val="28"/>
                <w:szCs w:val="28"/>
                <w:lang w:val="en-US" w:eastAsia="zh-CN"/>
              </w:rPr>
            </w:pPr>
          </w:p>
        </w:tc>
        <w:tc>
          <w:tcPr>
            <w:tcW w:w="1110" w:type="dxa"/>
          </w:tcPr>
          <w:p w14:paraId="23871AAD">
            <w:pPr>
              <w:pStyle w:val="25"/>
              <w:spacing w:line="360" w:lineRule="auto"/>
              <w:ind w:left="540" w:leftChars="257" w:firstLine="480"/>
              <w:rPr>
                <w:rFonts w:ascii="仿宋_GB2312" w:hAnsi="Times New Roman" w:eastAsia="仿宋_GB2312"/>
                <w:kern w:val="2"/>
                <w:sz w:val="28"/>
                <w:szCs w:val="28"/>
                <w:lang w:val="en-US" w:eastAsia="zh-CN"/>
              </w:rPr>
            </w:pPr>
          </w:p>
        </w:tc>
      </w:tr>
      <w:tr w14:paraId="00B5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5F9A0C51">
            <w:pPr>
              <w:pStyle w:val="25"/>
              <w:spacing w:line="360" w:lineRule="auto"/>
              <w:ind w:left="540" w:leftChars="257" w:firstLine="480"/>
              <w:rPr>
                <w:rFonts w:ascii="仿宋_GB2312" w:hAnsi="Times New Roman" w:eastAsia="仿宋_GB2312"/>
                <w:kern w:val="2"/>
                <w:sz w:val="28"/>
                <w:szCs w:val="28"/>
                <w:lang w:val="en-US" w:eastAsia="zh-CN"/>
              </w:rPr>
            </w:pPr>
          </w:p>
        </w:tc>
        <w:tc>
          <w:tcPr>
            <w:tcW w:w="3109" w:type="dxa"/>
          </w:tcPr>
          <w:p w14:paraId="2BFD3002">
            <w:pPr>
              <w:pStyle w:val="25"/>
              <w:spacing w:line="360" w:lineRule="auto"/>
              <w:ind w:left="540" w:leftChars="257" w:firstLine="480"/>
              <w:rPr>
                <w:rFonts w:ascii="仿宋_GB2312" w:hAnsi="Times New Roman" w:eastAsia="仿宋_GB2312"/>
                <w:kern w:val="2"/>
                <w:sz w:val="28"/>
                <w:szCs w:val="28"/>
                <w:lang w:val="en-US" w:eastAsia="zh-CN"/>
              </w:rPr>
            </w:pPr>
          </w:p>
        </w:tc>
        <w:tc>
          <w:tcPr>
            <w:tcW w:w="3109" w:type="dxa"/>
          </w:tcPr>
          <w:p w14:paraId="1C79AC67">
            <w:pPr>
              <w:pStyle w:val="25"/>
              <w:spacing w:line="360" w:lineRule="auto"/>
              <w:ind w:left="540" w:leftChars="257" w:firstLine="480"/>
              <w:rPr>
                <w:rFonts w:ascii="仿宋_GB2312" w:hAnsi="Times New Roman" w:eastAsia="仿宋_GB2312"/>
                <w:kern w:val="2"/>
                <w:sz w:val="28"/>
                <w:szCs w:val="28"/>
                <w:lang w:val="en-US" w:eastAsia="zh-CN"/>
              </w:rPr>
            </w:pPr>
          </w:p>
        </w:tc>
        <w:tc>
          <w:tcPr>
            <w:tcW w:w="1110" w:type="dxa"/>
          </w:tcPr>
          <w:p w14:paraId="0E322A7B">
            <w:pPr>
              <w:pStyle w:val="25"/>
              <w:spacing w:line="360" w:lineRule="auto"/>
              <w:ind w:left="540" w:leftChars="257" w:firstLine="480"/>
              <w:rPr>
                <w:rFonts w:ascii="仿宋_GB2312" w:hAnsi="Times New Roman" w:eastAsia="仿宋_GB2312"/>
                <w:kern w:val="2"/>
                <w:sz w:val="28"/>
                <w:szCs w:val="28"/>
                <w:lang w:val="en-US" w:eastAsia="zh-CN"/>
              </w:rPr>
            </w:pPr>
          </w:p>
        </w:tc>
      </w:tr>
      <w:tr w14:paraId="078DD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125C36C2">
            <w:pPr>
              <w:pStyle w:val="25"/>
              <w:spacing w:line="360" w:lineRule="auto"/>
              <w:ind w:left="540" w:leftChars="257" w:firstLine="480"/>
              <w:rPr>
                <w:rFonts w:ascii="仿宋_GB2312" w:hAnsi="Times New Roman" w:eastAsia="仿宋_GB2312"/>
                <w:kern w:val="2"/>
                <w:sz w:val="28"/>
                <w:szCs w:val="28"/>
                <w:lang w:val="en-US" w:eastAsia="zh-CN"/>
              </w:rPr>
            </w:pPr>
          </w:p>
        </w:tc>
        <w:tc>
          <w:tcPr>
            <w:tcW w:w="3109" w:type="dxa"/>
          </w:tcPr>
          <w:p w14:paraId="48A82923">
            <w:pPr>
              <w:pStyle w:val="25"/>
              <w:spacing w:line="360" w:lineRule="auto"/>
              <w:ind w:left="540" w:leftChars="257" w:firstLine="480"/>
              <w:rPr>
                <w:rFonts w:ascii="仿宋_GB2312" w:hAnsi="Times New Roman" w:eastAsia="仿宋_GB2312"/>
                <w:kern w:val="2"/>
                <w:sz w:val="28"/>
                <w:szCs w:val="28"/>
                <w:lang w:val="en-US" w:eastAsia="zh-CN"/>
              </w:rPr>
            </w:pPr>
          </w:p>
        </w:tc>
        <w:tc>
          <w:tcPr>
            <w:tcW w:w="3109" w:type="dxa"/>
          </w:tcPr>
          <w:p w14:paraId="685A64D6">
            <w:pPr>
              <w:pStyle w:val="25"/>
              <w:spacing w:line="360" w:lineRule="auto"/>
              <w:ind w:left="540" w:leftChars="257" w:firstLine="480"/>
              <w:rPr>
                <w:rFonts w:ascii="仿宋_GB2312" w:hAnsi="Times New Roman" w:eastAsia="仿宋_GB2312"/>
                <w:kern w:val="2"/>
                <w:sz w:val="28"/>
                <w:szCs w:val="28"/>
                <w:lang w:val="en-US" w:eastAsia="zh-CN"/>
              </w:rPr>
            </w:pPr>
          </w:p>
        </w:tc>
        <w:tc>
          <w:tcPr>
            <w:tcW w:w="1110" w:type="dxa"/>
          </w:tcPr>
          <w:p w14:paraId="3962B132">
            <w:pPr>
              <w:pStyle w:val="25"/>
              <w:spacing w:line="360" w:lineRule="auto"/>
              <w:ind w:left="540" w:leftChars="257" w:firstLine="480"/>
              <w:rPr>
                <w:rFonts w:ascii="仿宋_GB2312" w:hAnsi="Times New Roman" w:eastAsia="仿宋_GB2312"/>
                <w:kern w:val="2"/>
                <w:sz w:val="28"/>
                <w:szCs w:val="28"/>
                <w:lang w:val="en-US" w:eastAsia="zh-CN"/>
              </w:rPr>
            </w:pPr>
          </w:p>
        </w:tc>
      </w:tr>
      <w:tr w14:paraId="24FD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3E314526">
            <w:pPr>
              <w:pStyle w:val="25"/>
              <w:spacing w:line="360" w:lineRule="auto"/>
              <w:ind w:left="540" w:leftChars="257" w:firstLine="480"/>
              <w:rPr>
                <w:rFonts w:ascii="仿宋_GB2312" w:hAnsi="Times New Roman" w:eastAsia="仿宋_GB2312"/>
                <w:kern w:val="2"/>
                <w:sz w:val="28"/>
                <w:szCs w:val="28"/>
                <w:lang w:val="en-US" w:eastAsia="zh-CN"/>
              </w:rPr>
            </w:pPr>
          </w:p>
        </w:tc>
        <w:tc>
          <w:tcPr>
            <w:tcW w:w="3109" w:type="dxa"/>
          </w:tcPr>
          <w:p w14:paraId="208FFE53">
            <w:pPr>
              <w:pStyle w:val="25"/>
              <w:spacing w:line="360" w:lineRule="auto"/>
              <w:ind w:left="540" w:leftChars="257" w:firstLine="480"/>
              <w:rPr>
                <w:rFonts w:ascii="仿宋_GB2312" w:hAnsi="Times New Roman" w:eastAsia="仿宋_GB2312"/>
                <w:kern w:val="2"/>
                <w:sz w:val="28"/>
                <w:szCs w:val="28"/>
                <w:lang w:val="en-US" w:eastAsia="zh-CN"/>
              </w:rPr>
            </w:pPr>
          </w:p>
        </w:tc>
        <w:tc>
          <w:tcPr>
            <w:tcW w:w="3109" w:type="dxa"/>
          </w:tcPr>
          <w:p w14:paraId="6C8DAF1F">
            <w:pPr>
              <w:pStyle w:val="25"/>
              <w:spacing w:line="360" w:lineRule="auto"/>
              <w:ind w:left="540" w:leftChars="257" w:firstLine="480"/>
              <w:rPr>
                <w:rFonts w:ascii="仿宋_GB2312" w:hAnsi="Times New Roman" w:eastAsia="仿宋_GB2312"/>
                <w:kern w:val="2"/>
                <w:sz w:val="28"/>
                <w:szCs w:val="28"/>
                <w:lang w:val="en-US" w:eastAsia="zh-CN"/>
              </w:rPr>
            </w:pPr>
          </w:p>
        </w:tc>
        <w:tc>
          <w:tcPr>
            <w:tcW w:w="1110" w:type="dxa"/>
          </w:tcPr>
          <w:p w14:paraId="77416D57">
            <w:pPr>
              <w:pStyle w:val="25"/>
              <w:spacing w:line="360" w:lineRule="auto"/>
              <w:ind w:left="540" w:leftChars="257" w:firstLine="480"/>
              <w:rPr>
                <w:rFonts w:ascii="仿宋_GB2312" w:hAnsi="Times New Roman" w:eastAsia="仿宋_GB2312"/>
                <w:kern w:val="2"/>
                <w:sz w:val="28"/>
                <w:szCs w:val="28"/>
                <w:lang w:val="en-US" w:eastAsia="zh-CN"/>
              </w:rPr>
            </w:pPr>
          </w:p>
        </w:tc>
      </w:tr>
      <w:tr w14:paraId="2EA2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2494A5C5">
            <w:pPr>
              <w:pStyle w:val="25"/>
              <w:spacing w:line="360" w:lineRule="auto"/>
              <w:ind w:left="540" w:leftChars="257" w:firstLine="480"/>
              <w:rPr>
                <w:rFonts w:ascii="仿宋_GB2312" w:hAnsi="Times New Roman" w:eastAsia="仿宋_GB2312"/>
                <w:kern w:val="2"/>
                <w:sz w:val="28"/>
                <w:szCs w:val="28"/>
                <w:lang w:val="en-US" w:eastAsia="zh-CN"/>
              </w:rPr>
            </w:pPr>
          </w:p>
        </w:tc>
        <w:tc>
          <w:tcPr>
            <w:tcW w:w="3109" w:type="dxa"/>
          </w:tcPr>
          <w:p w14:paraId="48427DE4">
            <w:pPr>
              <w:pStyle w:val="25"/>
              <w:spacing w:line="360" w:lineRule="auto"/>
              <w:ind w:left="540" w:leftChars="257" w:firstLine="480"/>
              <w:rPr>
                <w:rFonts w:ascii="仿宋_GB2312" w:hAnsi="Times New Roman" w:eastAsia="仿宋_GB2312"/>
                <w:kern w:val="2"/>
                <w:sz w:val="28"/>
                <w:szCs w:val="28"/>
                <w:lang w:val="en-US" w:eastAsia="zh-CN"/>
              </w:rPr>
            </w:pPr>
          </w:p>
        </w:tc>
        <w:tc>
          <w:tcPr>
            <w:tcW w:w="3109" w:type="dxa"/>
          </w:tcPr>
          <w:p w14:paraId="558335FE">
            <w:pPr>
              <w:pStyle w:val="25"/>
              <w:spacing w:line="360" w:lineRule="auto"/>
              <w:ind w:left="540" w:leftChars="257" w:firstLine="480"/>
              <w:rPr>
                <w:rFonts w:ascii="仿宋_GB2312" w:hAnsi="Times New Roman" w:eastAsia="仿宋_GB2312"/>
                <w:kern w:val="2"/>
                <w:sz w:val="28"/>
                <w:szCs w:val="28"/>
                <w:lang w:val="en-US" w:eastAsia="zh-CN"/>
              </w:rPr>
            </w:pPr>
          </w:p>
        </w:tc>
        <w:tc>
          <w:tcPr>
            <w:tcW w:w="1110" w:type="dxa"/>
          </w:tcPr>
          <w:p w14:paraId="44F03890">
            <w:pPr>
              <w:pStyle w:val="25"/>
              <w:spacing w:line="360" w:lineRule="auto"/>
              <w:ind w:left="540" w:leftChars="257" w:firstLine="480"/>
              <w:rPr>
                <w:rFonts w:ascii="仿宋_GB2312" w:hAnsi="Times New Roman" w:eastAsia="仿宋_GB2312"/>
                <w:kern w:val="2"/>
                <w:sz w:val="28"/>
                <w:szCs w:val="28"/>
                <w:lang w:val="en-US" w:eastAsia="zh-CN"/>
              </w:rPr>
            </w:pPr>
          </w:p>
        </w:tc>
      </w:tr>
      <w:tr w14:paraId="6EF3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169" w:type="dxa"/>
          </w:tcPr>
          <w:p w14:paraId="6535F3D7">
            <w:pPr>
              <w:pStyle w:val="25"/>
              <w:spacing w:line="360" w:lineRule="auto"/>
              <w:ind w:left="540" w:leftChars="257" w:firstLine="480"/>
              <w:rPr>
                <w:rFonts w:ascii="仿宋_GB2312" w:hAnsi="Times New Roman" w:eastAsia="仿宋_GB2312"/>
                <w:kern w:val="2"/>
                <w:sz w:val="28"/>
                <w:szCs w:val="28"/>
                <w:lang w:val="en-US" w:eastAsia="zh-CN"/>
              </w:rPr>
            </w:pPr>
          </w:p>
        </w:tc>
        <w:tc>
          <w:tcPr>
            <w:tcW w:w="3109" w:type="dxa"/>
          </w:tcPr>
          <w:p w14:paraId="5E91BE73">
            <w:pPr>
              <w:pStyle w:val="25"/>
              <w:spacing w:line="360" w:lineRule="auto"/>
              <w:ind w:left="540" w:leftChars="257" w:firstLine="480"/>
              <w:rPr>
                <w:rFonts w:ascii="仿宋_GB2312" w:hAnsi="Times New Roman" w:eastAsia="仿宋_GB2312"/>
                <w:kern w:val="2"/>
                <w:sz w:val="28"/>
                <w:szCs w:val="28"/>
                <w:lang w:val="en-US" w:eastAsia="zh-CN"/>
              </w:rPr>
            </w:pPr>
          </w:p>
        </w:tc>
        <w:tc>
          <w:tcPr>
            <w:tcW w:w="3109" w:type="dxa"/>
          </w:tcPr>
          <w:p w14:paraId="3329AB79">
            <w:pPr>
              <w:pStyle w:val="25"/>
              <w:spacing w:line="360" w:lineRule="auto"/>
              <w:ind w:left="540" w:leftChars="257" w:firstLine="480"/>
              <w:rPr>
                <w:rFonts w:ascii="仿宋_GB2312" w:hAnsi="Times New Roman" w:eastAsia="仿宋_GB2312"/>
                <w:kern w:val="2"/>
                <w:sz w:val="28"/>
                <w:szCs w:val="28"/>
                <w:lang w:val="en-US" w:eastAsia="zh-CN"/>
              </w:rPr>
            </w:pPr>
          </w:p>
        </w:tc>
        <w:tc>
          <w:tcPr>
            <w:tcW w:w="1110" w:type="dxa"/>
          </w:tcPr>
          <w:p w14:paraId="5DDE085D">
            <w:pPr>
              <w:pStyle w:val="25"/>
              <w:spacing w:line="360" w:lineRule="auto"/>
              <w:ind w:left="540" w:leftChars="257" w:firstLine="480"/>
              <w:rPr>
                <w:rFonts w:ascii="仿宋_GB2312" w:hAnsi="Times New Roman" w:eastAsia="仿宋_GB2312"/>
                <w:kern w:val="2"/>
                <w:sz w:val="28"/>
                <w:szCs w:val="28"/>
                <w:lang w:val="en-US" w:eastAsia="zh-CN"/>
              </w:rPr>
            </w:pPr>
          </w:p>
        </w:tc>
      </w:tr>
    </w:tbl>
    <w:p w14:paraId="14A39CE6">
      <w:pPr>
        <w:pStyle w:val="25"/>
        <w:spacing w:line="360" w:lineRule="auto"/>
        <w:rPr>
          <w:rFonts w:ascii="Times New Roman" w:hAnsi="Times New Roman"/>
          <w:sz w:val="24"/>
          <w:szCs w:val="24"/>
        </w:rPr>
      </w:pPr>
    </w:p>
    <w:p w14:paraId="7ED6ABE3">
      <w:pPr>
        <w:pStyle w:val="25"/>
        <w:spacing w:line="360" w:lineRule="auto"/>
        <w:rPr>
          <w:rFonts w:ascii="Times New Roman" w:hAnsi="Times New Roman"/>
          <w:sz w:val="24"/>
          <w:szCs w:val="24"/>
          <w:lang w:eastAsia="zh-CN"/>
        </w:rPr>
      </w:pPr>
      <w:r>
        <w:rPr>
          <w:rFonts w:ascii="Times New Roman" w:hAnsi="Times New Roman"/>
          <w:sz w:val="24"/>
          <w:szCs w:val="24"/>
          <w:lang w:eastAsia="zh-CN"/>
        </w:rPr>
        <w:t>投标人（企业电子签章）：</w:t>
      </w:r>
      <w:r>
        <w:rPr>
          <w:rFonts w:ascii="Times New Roman" w:hAnsi="Times New Roman"/>
          <w:sz w:val="24"/>
          <w:szCs w:val="24"/>
          <w:u w:val="single"/>
          <w:lang w:eastAsia="zh-CN"/>
        </w:rPr>
        <w:t xml:space="preserve">                 </w:t>
      </w:r>
    </w:p>
    <w:p w14:paraId="7201EEE5">
      <w:pPr>
        <w:pStyle w:val="3"/>
        <w:spacing w:before="0" w:after="0" w:line="360" w:lineRule="auto"/>
        <w:jc w:val="center"/>
        <w:rPr>
          <w:rFonts w:ascii="Times New Roman" w:hAnsi="Times New Roman" w:eastAsia="方正小标宋_GBK"/>
          <w:b w:val="0"/>
          <w:color w:val="auto"/>
          <w:sz w:val="30"/>
          <w:szCs w:val="30"/>
        </w:rPr>
      </w:pPr>
      <w:bookmarkStart w:id="417" w:name="_Hlt520273711"/>
      <w:bookmarkEnd w:id="417"/>
      <w:bookmarkStart w:id="418" w:name="_Hlt520274065"/>
      <w:bookmarkEnd w:id="418"/>
      <w:bookmarkStart w:id="419" w:name="_Hlt520343392"/>
      <w:bookmarkEnd w:id="419"/>
      <w:bookmarkStart w:id="420" w:name="_Hlt520273973"/>
      <w:bookmarkEnd w:id="420"/>
      <w:bookmarkStart w:id="421" w:name="_Hlt520343000"/>
      <w:bookmarkEnd w:id="421"/>
      <w:bookmarkStart w:id="422" w:name="_Hlt520350957"/>
      <w:bookmarkEnd w:id="422"/>
      <w:bookmarkStart w:id="423" w:name="_Hlt520271212"/>
      <w:bookmarkEnd w:id="423"/>
      <w:bookmarkStart w:id="424" w:name="_Hlt520274407"/>
      <w:bookmarkEnd w:id="424"/>
      <w:bookmarkStart w:id="425" w:name="_Hlt520274911"/>
      <w:bookmarkEnd w:id="425"/>
      <w:bookmarkStart w:id="426" w:name="_Hlt520274393"/>
      <w:bookmarkEnd w:id="426"/>
      <w:bookmarkStart w:id="427" w:name="_Hlt520350918"/>
      <w:bookmarkEnd w:id="427"/>
      <w:r>
        <w:rPr>
          <w:rFonts w:ascii="Times New Roman" w:hAnsi="Times New Roman"/>
          <w:color w:val="auto"/>
          <w:sz w:val="28"/>
          <w:szCs w:val="28"/>
          <w:lang w:eastAsia="zh-CN"/>
        </w:rPr>
        <w:br w:type="page"/>
      </w:r>
      <w:bookmarkStart w:id="428" w:name="_Toc987616865"/>
      <w:bookmarkStart w:id="429" w:name="_Toc960186873"/>
      <w:bookmarkStart w:id="430" w:name="_Toc1764653932"/>
      <w:bookmarkStart w:id="431" w:name="_Toc104654542"/>
      <w:bookmarkStart w:id="432" w:name="_Toc37830125"/>
      <w:bookmarkStart w:id="433" w:name="_Toc142693684"/>
      <w:bookmarkStart w:id="434" w:name="_Toc804892690"/>
      <w:r>
        <w:rPr>
          <w:rFonts w:ascii="Times New Roman" w:hAnsi="Times New Roman" w:eastAsia="方正小标宋_GBK"/>
          <w:b w:val="0"/>
          <w:color w:val="auto"/>
          <w:sz w:val="30"/>
          <w:szCs w:val="30"/>
          <w:lang w:val="en-US" w:eastAsia="zh-CN"/>
        </w:rPr>
        <w:t>七、</w:t>
      </w:r>
      <w:r>
        <w:rPr>
          <w:rFonts w:ascii="Times New Roman" w:hAnsi="Times New Roman" w:eastAsia="方正小标宋_GBK"/>
          <w:b w:val="0"/>
          <w:color w:val="auto"/>
          <w:sz w:val="30"/>
          <w:szCs w:val="30"/>
        </w:rPr>
        <w:t>技术规格偏离表</w:t>
      </w:r>
      <w:bookmarkEnd w:id="397"/>
      <w:bookmarkEnd w:id="398"/>
      <w:bookmarkEnd w:id="399"/>
      <w:bookmarkEnd w:id="400"/>
      <w:bookmarkEnd w:id="428"/>
      <w:bookmarkEnd w:id="429"/>
      <w:bookmarkEnd w:id="430"/>
      <w:bookmarkEnd w:id="431"/>
      <w:bookmarkEnd w:id="432"/>
      <w:bookmarkEnd w:id="433"/>
      <w:bookmarkEnd w:id="434"/>
    </w:p>
    <w:p w14:paraId="079C8F58">
      <w:pPr>
        <w:pStyle w:val="25"/>
        <w:spacing w:line="360" w:lineRule="auto"/>
        <w:ind w:left="540" w:leftChars="257" w:firstLine="480"/>
        <w:rPr>
          <w:rFonts w:ascii="Times New Roman" w:hAnsi="Times New Roman"/>
          <w:sz w:val="24"/>
          <w:szCs w:val="24"/>
        </w:rPr>
      </w:pPr>
    </w:p>
    <w:tbl>
      <w:tblPr>
        <w:tblStyle w:val="51"/>
        <w:tblW w:w="0" w:type="auto"/>
        <w:tblInd w:w="-47" w:type="dxa"/>
        <w:tblLayout w:type="fixed"/>
        <w:tblCellMar>
          <w:top w:w="0" w:type="dxa"/>
          <w:left w:w="108" w:type="dxa"/>
          <w:bottom w:w="0" w:type="dxa"/>
          <w:right w:w="108" w:type="dxa"/>
        </w:tblCellMar>
      </w:tblPr>
      <w:tblGrid>
        <w:gridCol w:w="5812"/>
        <w:gridCol w:w="2788"/>
      </w:tblGrid>
      <w:tr w14:paraId="6234A206">
        <w:tblPrEx>
          <w:tblCellMar>
            <w:top w:w="0" w:type="dxa"/>
            <w:left w:w="108" w:type="dxa"/>
            <w:bottom w:w="0" w:type="dxa"/>
            <w:right w:w="108" w:type="dxa"/>
          </w:tblCellMar>
        </w:tblPrEx>
        <w:tc>
          <w:tcPr>
            <w:tcW w:w="5812" w:type="dxa"/>
          </w:tcPr>
          <w:p w14:paraId="4B0AC0EE">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豫财招标采购-2024-1257</w:t>
            </w:r>
          </w:p>
        </w:tc>
        <w:tc>
          <w:tcPr>
            <w:tcW w:w="2788" w:type="dxa"/>
          </w:tcPr>
          <w:p w14:paraId="1C78E028">
            <w:pPr>
              <w:spacing w:line="440" w:lineRule="exact"/>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金额单位：元人民币</w:t>
            </w:r>
          </w:p>
        </w:tc>
      </w:tr>
    </w:tbl>
    <w:p w14:paraId="33A715C5">
      <w:pPr>
        <w:pStyle w:val="25"/>
        <w:spacing w:line="360" w:lineRule="auto"/>
        <w:rPr>
          <w:rFonts w:ascii="Times New Roman" w:hAnsi="Times New Roman"/>
          <w:sz w:val="2"/>
          <w:szCs w:val="2"/>
          <w:lang w:val="en-US" w:eastAsia="zh-CN"/>
        </w:rPr>
      </w:pP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195"/>
        <w:gridCol w:w="1245"/>
        <w:gridCol w:w="1320"/>
        <w:gridCol w:w="1050"/>
        <w:gridCol w:w="1068"/>
      </w:tblGrid>
      <w:tr w14:paraId="2BC5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vAlign w:val="center"/>
          </w:tcPr>
          <w:p w14:paraId="52B0C7A3">
            <w:pPr>
              <w:pStyle w:val="25"/>
              <w:spacing w:line="360" w:lineRule="auto"/>
              <w:ind w:left="-31" w:leftChars="-15"/>
              <w:jc w:val="center"/>
              <w:rPr>
                <w:rFonts w:ascii="仿宋_GB2312" w:hAnsi="Times New Roman" w:eastAsia="仿宋_GB2312"/>
                <w:b/>
                <w:kern w:val="2"/>
                <w:sz w:val="24"/>
                <w:szCs w:val="24"/>
                <w:lang w:val="en-US" w:eastAsia="zh-CN"/>
              </w:rPr>
            </w:pPr>
            <w:r>
              <w:rPr>
                <w:rFonts w:hint="eastAsia" w:ascii="仿宋_GB2312" w:hAnsi="Times New Roman" w:eastAsia="仿宋_GB2312"/>
                <w:b/>
                <w:kern w:val="2"/>
                <w:sz w:val="24"/>
                <w:szCs w:val="24"/>
                <w:lang w:val="en-US" w:eastAsia="zh-CN"/>
              </w:rPr>
              <w:t>序号</w:t>
            </w:r>
          </w:p>
        </w:tc>
        <w:tc>
          <w:tcPr>
            <w:tcW w:w="3195" w:type="dxa"/>
            <w:vAlign w:val="center"/>
          </w:tcPr>
          <w:p w14:paraId="6C77A879">
            <w:pPr>
              <w:pStyle w:val="25"/>
              <w:spacing w:line="360" w:lineRule="auto"/>
              <w:jc w:val="center"/>
              <w:rPr>
                <w:rFonts w:ascii="仿宋_GB2312" w:hAnsi="Times New Roman" w:eastAsia="仿宋_GB2312"/>
                <w:b/>
                <w:kern w:val="2"/>
                <w:sz w:val="24"/>
                <w:szCs w:val="24"/>
                <w:lang w:val="en-US" w:eastAsia="zh-CN"/>
              </w:rPr>
            </w:pPr>
            <w:r>
              <w:rPr>
                <w:rFonts w:hint="eastAsia" w:ascii="仿宋_GB2312" w:hAnsi="Times New Roman" w:eastAsia="仿宋_GB2312"/>
                <w:b/>
                <w:kern w:val="2"/>
                <w:sz w:val="24"/>
                <w:szCs w:val="24"/>
                <w:lang w:val="en-US" w:eastAsia="zh-CN"/>
              </w:rPr>
              <w:t>货物名称及伴随服务内容</w:t>
            </w:r>
          </w:p>
        </w:tc>
        <w:tc>
          <w:tcPr>
            <w:tcW w:w="1245" w:type="dxa"/>
            <w:vAlign w:val="center"/>
          </w:tcPr>
          <w:p w14:paraId="4ED9CD00">
            <w:pPr>
              <w:pStyle w:val="25"/>
              <w:spacing w:line="360" w:lineRule="auto"/>
              <w:ind w:left="-206" w:leftChars="-98" w:right="-166" w:rightChars="-79"/>
              <w:jc w:val="center"/>
              <w:rPr>
                <w:rFonts w:ascii="仿宋_GB2312" w:hAnsi="Times New Roman" w:eastAsia="仿宋_GB2312"/>
                <w:b/>
                <w:kern w:val="2"/>
                <w:sz w:val="24"/>
                <w:szCs w:val="24"/>
                <w:lang w:val="en-US" w:eastAsia="zh-CN"/>
              </w:rPr>
            </w:pPr>
            <w:r>
              <w:rPr>
                <w:rFonts w:hint="eastAsia" w:ascii="仿宋_GB2312" w:hAnsi="Times New Roman" w:eastAsia="仿宋_GB2312"/>
                <w:b/>
                <w:kern w:val="2"/>
                <w:sz w:val="24"/>
                <w:szCs w:val="24"/>
                <w:lang w:val="en-US" w:eastAsia="zh-CN"/>
              </w:rPr>
              <w:t>招标要求</w:t>
            </w:r>
          </w:p>
        </w:tc>
        <w:tc>
          <w:tcPr>
            <w:tcW w:w="1320" w:type="dxa"/>
            <w:vAlign w:val="center"/>
          </w:tcPr>
          <w:p w14:paraId="00DD6F86">
            <w:pPr>
              <w:pStyle w:val="25"/>
              <w:spacing w:line="360" w:lineRule="auto"/>
              <w:ind w:left="-48" w:leftChars="-23"/>
              <w:jc w:val="center"/>
              <w:rPr>
                <w:rFonts w:ascii="仿宋_GB2312" w:hAnsi="Times New Roman" w:eastAsia="仿宋_GB2312"/>
                <w:b/>
                <w:kern w:val="2"/>
                <w:sz w:val="24"/>
                <w:szCs w:val="24"/>
                <w:lang w:val="en-US" w:eastAsia="zh-CN"/>
              </w:rPr>
            </w:pPr>
            <w:r>
              <w:rPr>
                <w:rFonts w:hint="eastAsia" w:ascii="仿宋_GB2312" w:hAnsi="Times New Roman" w:eastAsia="仿宋_GB2312"/>
                <w:b/>
                <w:kern w:val="2"/>
                <w:sz w:val="24"/>
                <w:szCs w:val="24"/>
                <w:lang w:val="en-US" w:eastAsia="zh-CN"/>
              </w:rPr>
              <w:t>投标响应</w:t>
            </w:r>
          </w:p>
        </w:tc>
        <w:tc>
          <w:tcPr>
            <w:tcW w:w="1050" w:type="dxa"/>
            <w:vAlign w:val="center"/>
          </w:tcPr>
          <w:p w14:paraId="67CDF82C">
            <w:pPr>
              <w:pStyle w:val="25"/>
              <w:spacing w:line="360" w:lineRule="auto"/>
              <w:ind w:left="-34" w:leftChars="-16"/>
              <w:jc w:val="center"/>
              <w:rPr>
                <w:rFonts w:ascii="仿宋_GB2312" w:hAnsi="Times New Roman" w:eastAsia="仿宋_GB2312"/>
                <w:b/>
                <w:kern w:val="2"/>
                <w:sz w:val="24"/>
                <w:szCs w:val="24"/>
                <w:lang w:val="en-US" w:eastAsia="zh-CN"/>
              </w:rPr>
            </w:pPr>
            <w:r>
              <w:rPr>
                <w:rFonts w:hint="eastAsia" w:ascii="仿宋_GB2312" w:hAnsi="Times New Roman" w:eastAsia="仿宋_GB2312"/>
                <w:b/>
                <w:kern w:val="2"/>
                <w:sz w:val="24"/>
                <w:szCs w:val="24"/>
                <w:lang w:val="en-US" w:eastAsia="zh-CN"/>
              </w:rPr>
              <w:t>偏离</w:t>
            </w:r>
          </w:p>
        </w:tc>
        <w:tc>
          <w:tcPr>
            <w:tcW w:w="1068" w:type="dxa"/>
            <w:vAlign w:val="center"/>
          </w:tcPr>
          <w:p w14:paraId="28ECB455">
            <w:pPr>
              <w:pStyle w:val="25"/>
              <w:spacing w:line="360" w:lineRule="auto"/>
              <w:ind w:left="-82" w:leftChars="-39"/>
              <w:jc w:val="center"/>
              <w:rPr>
                <w:rFonts w:ascii="仿宋_GB2312" w:hAnsi="Times New Roman" w:eastAsia="仿宋_GB2312"/>
                <w:b/>
                <w:kern w:val="2"/>
                <w:sz w:val="24"/>
                <w:szCs w:val="24"/>
                <w:lang w:val="en-US" w:eastAsia="zh-CN"/>
              </w:rPr>
            </w:pPr>
            <w:r>
              <w:rPr>
                <w:rFonts w:hint="eastAsia" w:ascii="仿宋_GB2312" w:hAnsi="Times New Roman" w:eastAsia="仿宋_GB2312"/>
                <w:b/>
                <w:kern w:val="2"/>
                <w:sz w:val="24"/>
                <w:szCs w:val="24"/>
                <w:lang w:val="en-US" w:eastAsia="zh-CN"/>
              </w:rPr>
              <w:t>说明</w:t>
            </w:r>
          </w:p>
        </w:tc>
      </w:tr>
      <w:tr w14:paraId="41881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7531D2B7">
            <w:pPr>
              <w:pStyle w:val="25"/>
              <w:spacing w:line="360" w:lineRule="auto"/>
              <w:ind w:left="540" w:leftChars="257" w:firstLine="480"/>
              <w:rPr>
                <w:rFonts w:ascii="仿宋_GB2312" w:hAnsi="Times New Roman" w:eastAsia="仿宋_GB2312"/>
                <w:kern w:val="2"/>
                <w:sz w:val="24"/>
                <w:szCs w:val="24"/>
                <w:lang w:val="en-US" w:eastAsia="zh-CN"/>
              </w:rPr>
            </w:pPr>
          </w:p>
        </w:tc>
        <w:tc>
          <w:tcPr>
            <w:tcW w:w="3195" w:type="dxa"/>
          </w:tcPr>
          <w:p w14:paraId="5B15E9AC">
            <w:pPr>
              <w:pStyle w:val="25"/>
              <w:spacing w:line="360" w:lineRule="auto"/>
              <w:ind w:left="540" w:leftChars="257" w:firstLine="480"/>
              <w:rPr>
                <w:rFonts w:ascii="仿宋_GB2312" w:hAnsi="Times New Roman" w:eastAsia="仿宋_GB2312"/>
                <w:kern w:val="2"/>
                <w:sz w:val="24"/>
                <w:szCs w:val="24"/>
                <w:lang w:val="en-US" w:eastAsia="zh-CN"/>
              </w:rPr>
            </w:pPr>
          </w:p>
        </w:tc>
        <w:tc>
          <w:tcPr>
            <w:tcW w:w="1245" w:type="dxa"/>
          </w:tcPr>
          <w:p w14:paraId="53633E31">
            <w:pPr>
              <w:pStyle w:val="25"/>
              <w:spacing w:line="360" w:lineRule="auto"/>
              <w:ind w:left="540" w:leftChars="257" w:firstLine="480"/>
              <w:rPr>
                <w:rFonts w:ascii="仿宋_GB2312" w:hAnsi="Times New Roman" w:eastAsia="仿宋_GB2312"/>
                <w:kern w:val="2"/>
                <w:sz w:val="24"/>
                <w:szCs w:val="24"/>
                <w:lang w:val="en-US" w:eastAsia="zh-CN"/>
              </w:rPr>
            </w:pPr>
          </w:p>
        </w:tc>
        <w:tc>
          <w:tcPr>
            <w:tcW w:w="1320" w:type="dxa"/>
          </w:tcPr>
          <w:p w14:paraId="64463727">
            <w:pPr>
              <w:pStyle w:val="25"/>
              <w:spacing w:line="360" w:lineRule="auto"/>
              <w:ind w:left="540" w:leftChars="257" w:firstLine="480"/>
              <w:rPr>
                <w:rFonts w:ascii="仿宋_GB2312" w:hAnsi="Times New Roman" w:eastAsia="仿宋_GB2312"/>
                <w:kern w:val="2"/>
                <w:sz w:val="24"/>
                <w:szCs w:val="24"/>
                <w:lang w:val="en-US" w:eastAsia="zh-CN"/>
              </w:rPr>
            </w:pPr>
          </w:p>
        </w:tc>
        <w:tc>
          <w:tcPr>
            <w:tcW w:w="1050" w:type="dxa"/>
          </w:tcPr>
          <w:p w14:paraId="24F38786">
            <w:pPr>
              <w:pStyle w:val="25"/>
              <w:spacing w:line="360" w:lineRule="auto"/>
              <w:ind w:left="540" w:leftChars="257" w:firstLine="480"/>
              <w:rPr>
                <w:rFonts w:ascii="仿宋_GB2312" w:hAnsi="Times New Roman" w:eastAsia="仿宋_GB2312"/>
                <w:kern w:val="2"/>
                <w:sz w:val="24"/>
                <w:szCs w:val="24"/>
                <w:lang w:val="en-US" w:eastAsia="zh-CN"/>
              </w:rPr>
            </w:pPr>
          </w:p>
        </w:tc>
        <w:tc>
          <w:tcPr>
            <w:tcW w:w="1068" w:type="dxa"/>
          </w:tcPr>
          <w:p w14:paraId="10986B80">
            <w:pPr>
              <w:pStyle w:val="25"/>
              <w:spacing w:line="360" w:lineRule="auto"/>
              <w:ind w:left="540" w:leftChars="257" w:firstLine="480"/>
              <w:rPr>
                <w:rFonts w:ascii="仿宋_GB2312" w:hAnsi="Times New Roman" w:eastAsia="仿宋_GB2312"/>
                <w:kern w:val="2"/>
                <w:sz w:val="24"/>
                <w:szCs w:val="24"/>
                <w:lang w:val="en-US" w:eastAsia="zh-CN"/>
              </w:rPr>
            </w:pPr>
          </w:p>
        </w:tc>
      </w:tr>
      <w:tr w14:paraId="6D5BF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1B9AAFB5">
            <w:pPr>
              <w:pStyle w:val="25"/>
              <w:spacing w:line="360" w:lineRule="auto"/>
              <w:ind w:left="540" w:leftChars="257" w:firstLine="480"/>
              <w:rPr>
                <w:rFonts w:ascii="仿宋_GB2312" w:hAnsi="Times New Roman" w:eastAsia="仿宋_GB2312"/>
                <w:kern w:val="2"/>
                <w:sz w:val="24"/>
                <w:szCs w:val="24"/>
                <w:lang w:val="en-US" w:eastAsia="zh-CN"/>
              </w:rPr>
            </w:pPr>
          </w:p>
        </w:tc>
        <w:tc>
          <w:tcPr>
            <w:tcW w:w="3195" w:type="dxa"/>
          </w:tcPr>
          <w:p w14:paraId="1577FEAB">
            <w:pPr>
              <w:pStyle w:val="25"/>
              <w:spacing w:line="360" w:lineRule="auto"/>
              <w:ind w:left="540" w:leftChars="257" w:firstLine="480"/>
              <w:rPr>
                <w:rFonts w:ascii="仿宋_GB2312" w:hAnsi="Times New Roman" w:eastAsia="仿宋_GB2312"/>
                <w:kern w:val="2"/>
                <w:sz w:val="24"/>
                <w:szCs w:val="24"/>
                <w:lang w:val="en-US" w:eastAsia="zh-CN"/>
              </w:rPr>
            </w:pPr>
          </w:p>
        </w:tc>
        <w:tc>
          <w:tcPr>
            <w:tcW w:w="1245" w:type="dxa"/>
          </w:tcPr>
          <w:p w14:paraId="416B4822">
            <w:pPr>
              <w:pStyle w:val="25"/>
              <w:spacing w:line="360" w:lineRule="auto"/>
              <w:ind w:left="540" w:leftChars="257" w:firstLine="480"/>
              <w:rPr>
                <w:rFonts w:ascii="仿宋_GB2312" w:hAnsi="Times New Roman" w:eastAsia="仿宋_GB2312"/>
                <w:kern w:val="2"/>
                <w:sz w:val="24"/>
                <w:szCs w:val="24"/>
                <w:lang w:val="en-US" w:eastAsia="zh-CN"/>
              </w:rPr>
            </w:pPr>
          </w:p>
        </w:tc>
        <w:tc>
          <w:tcPr>
            <w:tcW w:w="1320" w:type="dxa"/>
          </w:tcPr>
          <w:p w14:paraId="21A97C05">
            <w:pPr>
              <w:pStyle w:val="25"/>
              <w:spacing w:line="360" w:lineRule="auto"/>
              <w:ind w:left="540" w:leftChars="257" w:firstLine="480"/>
              <w:rPr>
                <w:rFonts w:ascii="仿宋_GB2312" w:hAnsi="Times New Roman" w:eastAsia="仿宋_GB2312"/>
                <w:kern w:val="2"/>
                <w:sz w:val="24"/>
                <w:szCs w:val="24"/>
                <w:lang w:val="en-US" w:eastAsia="zh-CN"/>
              </w:rPr>
            </w:pPr>
          </w:p>
        </w:tc>
        <w:tc>
          <w:tcPr>
            <w:tcW w:w="1050" w:type="dxa"/>
          </w:tcPr>
          <w:p w14:paraId="6D59B227">
            <w:pPr>
              <w:pStyle w:val="25"/>
              <w:spacing w:line="360" w:lineRule="auto"/>
              <w:ind w:left="540" w:leftChars="257" w:firstLine="480"/>
              <w:rPr>
                <w:rFonts w:ascii="仿宋_GB2312" w:hAnsi="Times New Roman" w:eastAsia="仿宋_GB2312"/>
                <w:kern w:val="2"/>
                <w:sz w:val="24"/>
                <w:szCs w:val="24"/>
                <w:lang w:val="en-US" w:eastAsia="zh-CN"/>
              </w:rPr>
            </w:pPr>
          </w:p>
        </w:tc>
        <w:tc>
          <w:tcPr>
            <w:tcW w:w="1068" w:type="dxa"/>
          </w:tcPr>
          <w:p w14:paraId="4DDECE07">
            <w:pPr>
              <w:pStyle w:val="25"/>
              <w:spacing w:line="360" w:lineRule="auto"/>
              <w:ind w:left="540" w:leftChars="257" w:firstLine="480"/>
              <w:rPr>
                <w:rFonts w:ascii="仿宋_GB2312" w:hAnsi="Times New Roman" w:eastAsia="仿宋_GB2312"/>
                <w:kern w:val="2"/>
                <w:sz w:val="24"/>
                <w:szCs w:val="24"/>
                <w:lang w:val="en-US" w:eastAsia="zh-CN"/>
              </w:rPr>
            </w:pPr>
          </w:p>
        </w:tc>
      </w:tr>
      <w:tr w14:paraId="488B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7D0BBE5D">
            <w:pPr>
              <w:pStyle w:val="25"/>
              <w:spacing w:line="360" w:lineRule="auto"/>
              <w:ind w:left="540" w:leftChars="257" w:firstLine="480"/>
              <w:rPr>
                <w:rFonts w:ascii="仿宋_GB2312" w:hAnsi="Times New Roman" w:eastAsia="仿宋_GB2312"/>
                <w:kern w:val="2"/>
                <w:sz w:val="24"/>
                <w:szCs w:val="24"/>
                <w:lang w:val="en-US" w:eastAsia="zh-CN"/>
              </w:rPr>
            </w:pPr>
          </w:p>
        </w:tc>
        <w:tc>
          <w:tcPr>
            <w:tcW w:w="3195" w:type="dxa"/>
          </w:tcPr>
          <w:p w14:paraId="4BC04438">
            <w:pPr>
              <w:pStyle w:val="25"/>
              <w:spacing w:line="360" w:lineRule="auto"/>
              <w:ind w:left="540" w:leftChars="257" w:firstLine="480"/>
              <w:rPr>
                <w:rFonts w:ascii="仿宋_GB2312" w:hAnsi="Times New Roman" w:eastAsia="仿宋_GB2312"/>
                <w:kern w:val="2"/>
                <w:sz w:val="24"/>
                <w:szCs w:val="24"/>
                <w:lang w:val="en-US" w:eastAsia="zh-CN"/>
              </w:rPr>
            </w:pPr>
          </w:p>
        </w:tc>
        <w:tc>
          <w:tcPr>
            <w:tcW w:w="1245" w:type="dxa"/>
          </w:tcPr>
          <w:p w14:paraId="64326DB1">
            <w:pPr>
              <w:pStyle w:val="25"/>
              <w:spacing w:line="360" w:lineRule="auto"/>
              <w:ind w:left="540" w:leftChars="257" w:firstLine="480"/>
              <w:rPr>
                <w:rFonts w:ascii="仿宋_GB2312" w:hAnsi="Times New Roman" w:eastAsia="仿宋_GB2312"/>
                <w:kern w:val="2"/>
                <w:sz w:val="24"/>
                <w:szCs w:val="24"/>
                <w:lang w:val="en-US" w:eastAsia="zh-CN"/>
              </w:rPr>
            </w:pPr>
          </w:p>
        </w:tc>
        <w:tc>
          <w:tcPr>
            <w:tcW w:w="1320" w:type="dxa"/>
          </w:tcPr>
          <w:p w14:paraId="4D753FF4">
            <w:pPr>
              <w:pStyle w:val="25"/>
              <w:spacing w:line="360" w:lineRule="auto"/>
              <w:ind w:left="540" w:leftChars="257" w:firstLine="480"/>
              <w:rPr>
                <w:rFonts w:ascii="仿宋_GB2312" w:hAnsi="Times New Roman" w:eastAsia="仿宋_GB2312"/>
                <w:kern w:val="2"/>
                <w:sz w:val="24"/>
                <w:szCs w:val="24"/>
                <w:lang w:val="en-US" w:eastAsia="zh-CN"/>
              </w:rPr>
            </w:pPr>
          </w:p>
        </w:tc>
        <w:tc>
          <w:tcPr>
            <w:tcW w:w="1050" w:type="dxa"/>
          </w:tcPr>
          <w:p w14:paraId="6E77ED9A">
            <w:pPr>
              <w:pStyle w:val="25"/>
              <w:spacing w:line="360" w:lineRule="auto"/>
              <w:ind w:left="540" w:leftChars="257" w:firstLine="480"/>
              <w:rPr>
                <w:rFonts w:ascii="仿宋_GB2312" w:hAnsi="Times New Roman" w:eastAsia="仿宋_GB2312"/>
                <w:kern w:val="2"/>
                <w:sz w:val="24"/>
                <w:szCs w:val="24"/>
                <w:lang w:val="en-US" w:eastAsia="zh-CN"/>
              </w:rPr>
            </w:pPr>
          </w:p>
        </w:tc>
        <w:tc>
          <w:tcPr>
            <w:tcW w:w="1068" w:type="dxa"/>
          </w:tcPr>
          <w:p w14:paraId="66EAA049">
            <w:pPr>
              <w:pStyle w:val="25"/>
              <w:spacing w:line="360" w:lineRule="auto"/>
              <w:ind w:left="540" w:leftChars="257" w:firstLine="480"/>
              <w:rPr>
                <w:rFonts w:ascii="仿宋_GB2312" w:hAnsi="Times New Roman" w:eastAsia="仿宋_GB2312"/>
                <w:kern w:val="2"/>
                <w:sz w:val="24"/>
                <w:szCs w:val="24"/>
                <w:lang w:val="en-US" w:eastAsia="zh-CN"/>
              </w:rPr>
            </w:pPr>
          </w:p>
        </w:tc>
      </w:tr>
      <w:tr w14:paraId="5741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4D904EFA">
            <w:pPr>
              <w:pStyle w:val="25"/>
              <w:spacing w:line="360" w:lineRule="auto"/>
              <w:ind w:left="540" w:leftChars="257" w:firstLine="480"/>
              <w:rPr>
                <w:rFonts w:ascii="仿宋_GB2312" w:hAnsi="Times New Roman" w:eastAsia="仿宋_GB2312"/>
                <w:kern w:val="2"/>
                <w:sz w:val="24"/>
                <w:szCs w:val="24"/>
                <w:lang w:val="en-US" w:eastAsia="zh-CN"/>
              </w:rPr>
            </w:pPr>
          </w:p>
        </w:tc>
        <w:tc>
          <w:tcPr>
            <w:tcW w:w="3195" w:type="dxa"/>
          </w:tcPr>
          <w:p w14:paraId="4103E697">
            <w:pPr>
              <w:pStyle w:val="25"/>
              <w:spacing w:line="360" w:lineRule="auto"/>
              <w:ind w:left="540" w:leftChars="257" w:firstLine="480"/>
              <w:rPr>
                <w:rFonts w:ascii="仿宋_GB2312" w:hAnsi="Times New Roman" w:eastAsia="仿宋_GB2312"/>
                <w:kern w:val="2"/>
                <w:sz w:val="24"/>
                <w:szCs w:val="24"/>
                <w:lang w:val="en-US" w:eastAsia="zh-CN"/>
              </w:rPr>
            </w:pPr>
          </w:p>
        </w:tc>
        <w:tc>
          <w:tcPr>
            <w:tcW w:w="1245" w:type="dxa"/>
          </w:tcPr>
          <w:p w14:paraId="15172BD3">
            <w:pPr>
              <w:pStyle w:val="25"/>
              <w:spacing w:line="360" w:lineRule="auto"/>
              <w:ind w:left="540" w:leftChars="257" w:firstLine="480"/>
              <w:rPr>
                <w:rFonts w:ascii="仿宋_GB2312" w:hAnsi="Times New Roman" w:eastAsia="仿宋_GB2312"/>
                <w:kern w:val="2"/>
                <w:sz w:val="24"/>
                <w:szCs w:val="24"/>
                <w:lang w:val="en-US" w:eastAsia="zh-CN"/>
              </w:rPr>
            </w:pPr>
          </w:p>
        </w:tc>
        <w:tc>
          <w:tcPr>
            <w:tcW w:w="1320" w:type="dxa"/>
          </w:tcPr>
          <w:p w14:paraId="52142AA9">
            <w:pPr>
              <w:pStyle w:val="25"/>
              <w:spacing w:line="360" w:lineRule="auto"/>
              <w:ind w:left="540" w:leftChars="257" w:firstLine="480"/>
              <w:rPr>
                <w:rFonts w:ascii="仿宋_GB2312" w:hAnsi="Times New Roman" w:eastAsia="仿宋_GB2312"/>
                <w:kern w:val="2"/>
                <w:sz w:val="24"/>
                <w:szCs w:val="24"/>
                <w:lang w:val="en-US" w:eastAsia="zh-CN"/>
              </w:rPr>
            </w:pPr>
          </w:p>
        </w:tc>
        <w:tc>
          <w:tcPr>
            <w:tcW w:w="1050" w:type="dxa"/>
          </w:tcPr>
          <w:p w14:paraId="76292D08">
            <w:pPr>
              <w:pStyle w:val="25"/>
              <w:spacing w:line="360" w:lineRule="auto"/>
              <w:ind w:left="540" w:leftChars="257" w:firstLine="480"/>
              <w:rPr>
                <w:rFonts w:ascii="仿宋_GB2312" w:hAnsi="Times New Roman" w:eastAsia="仿宋_GB2312"/>
                <w:kern w:val="2"/>
                <w:sz w:val="24"/>
                <w:szCs w:val="24"/>
                <w:lang w:val="en-US" w:eastAsia="zh-CN"/>
              </w:rPr>
            </w:pPr>
          </w:p>
        </w:tc>
        <w:tc>
          <w:tcPr>
            <w:tcW w:w="1068" w:type="dxa"/>
          </w:tcPr>
          <w:p w14:paraId="1BAF9549">
            <w:pPr>
              <w:pStyle w:val="25"/>
              <w:spacing w:line="360" w:lineRule="auto"/>
              <w:ind w:left="540" w:leftChars="257" w:firstLine="480"/>
              <w:rPr>
                <w:rFonts w:ascii="仿宋_GB2312" w:hAnsi="Times New Roman" w:eastAsia="仿宋_GB2312"/>
                <w:kern w:val="2"/>
                <w:sz w:val="24"/>
                <w:szCs w:val="24"/>
                <w:lang w:val="en-US" w:eastAsia="zh-CN"/>
              </w:rPr>
            </w:pPr>
          </w:p>
        </w:tc>
      </w:tr>
      <w:tr w14:paraId="54BF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6087A942">
            <w:pPr>
              <w:pStyle w:val="25"/>
              <w:spacing w:line="360" w:lineRule="auto"/>
              <w:ind w:left="540" w:leftChars="257" w:firstLine="480"/>
              <w:rPr>
                <w:rFonts w:ascii="仿宋_GB2312" w:hAnsi="Times New Roman" w:eastAsia="仿宋_GB2312"/>
                <w:kern w:val="2"/>
                <w:sz w:val="24"/>
                <w:szCs w:val="24"/>
                <w:lang w:val="en-US" w:eastAsia="zh-CN"/>
              </w:rPr>
            </w:pPr>
          </w:p>
        </w:tc>
        <w:tc>
          <w:tcPr>
            <w:tcW w:w="3195" w:type="dxa"/>
          </w:tcPr>
          <w:p w14:paraId="42CC9668">
            <w:pPr>
              <w:pStyle w:val="25"/>
              <w:spacing w:line="360" w:lineRule="auto"/>
              <w:ind w:left="540" w:leftChars="257" w:firstLine="480"/>
              <w:rPr>
                <w:rFonts w:ascii="仿宋_GB2312" w:hAnsi="Times New Roman" w:eastAsia="仿宋_GB2312"/>
                <w:kern w:val="2"/>
                <w:sz w:val="24"/>
                <w:szCs w:val="24"/>
                <w:lang w:val="en-US" w:eastAsia="zh-CN"/>
              </w:rPr>
            </w:pPr>
          </w:p>
        </w:tc>
        <w:tc>
          <w:tcPr>
            <w:tcW w:w="1245" w:type="dxa"/>
          </w:tcPr>
          <w:p w14:paraId="54C6E52E">
            <w:pPr>
              <w:pStyle w:val="25"/>
              <w:spacing w:line="360" w:lineRule="auto"/>
              <w:ind w:left="540" w:leftChars="257" w:firstLine="480"/>
              <w:rPr>
                <w:rFonts w:ascii="仿宋_GB2312" w:hAnsi="Times New Roman" w:eastAsia="仿宋_GB2312"/>
                <w:kern w:val="2"/>
                <w:sz w:val="24"/>
                <w:szCs w:val="24"/>
                <w:lang w:val="en-US" w:eastAsia="zh-CN"/>
              </w:rPr>
            </w:pPr>
          </w:p>
        </w:tc>
        <w:tc>
          <w:tcPr>
            <w:tcW w:w="1320" w:type="dxa"/>
          </w:tcPr>
          <w:p w14:paraId="556432CC">
            <w:pPr>
              <w:pStyle w:val="25"/>
              <w:spacing w:line="360" w:lineRule="auto"/>
              <w:ind w:left="540" w:leftChars="257" w:firstLine="480"/>
              <w:rPr>
                <w:rFonts w:ascii="仿宋_GB2312" w:hAnsi="Times New Roman" w:eastAsia="仿宋_GB2312"/>
                <w:kern w:val="2"/>
                <w:sz w:val="24"/>
                <w:szCs w:val="24"/>
                <w:lang w:val="en-US" w:eastAsia="zh-CN"/>
              </w:rPr>
            </w:pPr>
          </w:p>
        </w:tc>
        <w:tc>
          <w:tcPr>
            <w:tcW w:w="1050" w:type="dxa"/>
          </w:tcPr>
          <w:p w14:paraId="31A18545">
            <w:pPr>
              <w:pStyle w:val="25"/>
              <w:spacing w:line="360" w:lineRule="auto"/>
              <w:ind w:left="540" w:leftChars="257" w:firstLine="480"/>
              <w:rPr>
                <w:rFonts w:ascii="仿宋_GB2312" w:hAnsi="Times New Roman" w:eastAsia="仿宋_GB2312"/>
                <w:kern w:val="2"/>
                <w:sz w:val="24"/>
                <w:szCs w:val="24"/>
                <w:lang w:val="en-US" w:eastAsia="zh-CN"/>
              </w:rPr>
            </w:pPr>
          </w:p>
        </w:tc>
        <w:tc>
          <w:tcPr>
            <w:tcW w:w="1068" w:type="dxa"/>
          </w:tcPr>
          <w:p w14:paraId="31CDEC5B">
            <w:pPr>
              <w:pStyle w:val="25"/>
              <w:spacing w:line="360" w:lineRule="auto"/>
              <w:ind w:left="540" w:leftChars="257" w:firstLine="480"/>
              <w:rPr>
                <w:rFonts w:ascii="仿宋_GB2312" w:hAnsi="Times New Roman" w:eastAsia="仿宋_GB2312"/>
                <w:kern w:val="2"/>
                <w:sz w:val="24"/>
                <w:szCs w:val="24"/>
                <w:lang w:val="en-US" w:eastAsia="zh-CN"/>
              </w:rPr>
            </w:pPr>
          </w:p>
        </w:tc>
      </w:tr>
      <w:tr w14:paraId="6ECC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0CC766BE">
            <w:pPr>
              <w:pStyle w:val="25"/>
              <w:spacing w:line="360" w:lineRule="auto"/>
              <w:ind w:left="540" w:leftChars="257" w:firstLine="480"/>
              <w:rPr>
                <w:rFonts w:ascii="仿宋_GB2312" w:hAnsi="Times New Roman" w:eastAsia="仿宋_GB2312"/>
                <w:kern w:val="2"/>
                <w:sz w:val="24"/>
                <w:szCs w:val="24"/>
                <w:lang w:val="en-US" w:eastAsia="zh-CN"/>
              </w:rPr>
            </w:pPr>
          </w:p>
        </w:tc>
        <w:tc>
          <w:tcPr>
            <w:tcW w:w="3195" w:type="dxa"/>
          </w:tcPr>
          <w:p w14:paraId="08A6F346">
            <w:pPr>
              <w:pStyle w:val="25"/>
              <w:spacing w:line="360" w:lineRule="auto"/>
              <w:ind w:left="540" w:leftChars="257" w:firstLine="480"/>
              <w:rPr>
                <w:rFonts w:ascii="仿宋_GB2312" w:hAnsi="Times New Roman" w:eastAsia="仿宋_GB2312"/>
                <w:kern w:val="2"/>
                <w:sz w:val="24"/>
                <w:szCs w:val="24"/>
                <w:lang w:val="en-US" w:eastAsia="zh-CN"/>
              </w:rPr>
            </w:pPr>
          </w:p>
        </w:tc>
        <w:tc>
          <w:tcPr>
            <w:tcW w:w="1245" w:type="dxa"/>
          </w:tcPr>
          <w:p w14:paraId="4781D49A">
            <w:pPr>
              <w:pStyle w:val="25"/>
              <w:spacing w:line="360" w:lineRule="auto"/>
              <w:ind w:left="540" w:leftChars="257" w:firstLine="480"/>
              <w:rPr>
                <w:rFonts w:ascii="仿宋_GB2312" w:hAnsi="Times New Roman" w:eastAsia="仿宋_GB2312"/>
                <w:kern w:val="2"/>
                <w:sz w:val="24"/>
                <w:szCs w:val="24"/>
                <w:lang w:val="en-US" w:eastAsia="zh-CN"/>
              </w:rPr>
            </w:pPr>
          </w:p>
        </w:tc>
        <w:tc>
          <w:tcPr>
            <w:tcW w:w="1320" w:type="dxa"/>
          </w:tcPr>
          <w:p w14:paraId="25E42E67">
            <w:pPr>
              <w:pStyle w:val="25"/>
              <w:spacing w:line="360" w:lineRule="auto"/>
              <w:ind w:left="540" w:leftChars="257" w:firstLine="480"/>
              <w:rPr>
                <w:rFonts w:ascii="仿宋_GB2312" w:hAnsi="Times New Roman" w:eastAsia="仿宋_GB2312"/>
                <w:kern w:val="2"/>
                <w:sz w:val="24"/>
                <w:szCs w:val="24"/>
                <w:lang w:val="en-US" w:eastAsia="zh-CN"/>
              </w:rPr>
            </w:pPr>
          </w:p>
        </w:tc>
        <w:tc>
          <w:tcPr>
            <w:tcW w:w="1050" w:type="dxa"/>
          </w:tcPr>
          <w:p w14:paraId="29A82623">
            <w:pPr>
              <w:pStyle w:val="25"/>
              <w:spacing w:line="360" w:lineRule="auto"/>
              <w:ind w:left="540" w:leftChars="257" w:firstLine="480"/>
              <w:rPr>
                <w:rFonts w:ascii="仿宋_GB2312" w:hAnsi="Times New Roman" w:eastAsia="仿宋_GB2312"/>
                <w:kern w:val="2"/>
                <w:sz w:val="24"/>
                <w:szCs w:val="24"/>
                <w:lang w:val="en-US" w:eastAsia="zh-CN"/>
              </w:rPr>
            </w:pPr>
          </w:p>
        </w:tc>
        <w:tc>
          <w:tcPr>
            <w:tcW w:w="1068" w:type="dxa"/>
          </w:tcPr>
          <w:p w14:paraId="39CB8D88">
            <w:pPr>
              <w:pStyle w:val="25"/>
              <w:spacing w:line="360" w:lineRule="auto"/>
              <w:ind w:left="540" w:leftChars="257" w:firstLine="480"/>
              <w:rPr>
                <w:rFonts w:ascii="仿宋_GB2312" w:hAnsi="Times New Roman" w:eastAsia="仿宋_GB2312"/>
                <w:kern w:val="2"/>
                <w:sz w:val="24"/>
                <w:szCs w:val="24"/>
                <w:lang w:val="en-US" w:eastAsia="zh-CN"/>
              </w:rPr>
            </w:pPr>
          </w:p>
        </w:tc>
      </w:tr>
      <w:tr w14:paraId="7983B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5AD72422">
            <w:pPr>
              <w:pStyle w:val="25"/>
              <w:spacing w:line="360" w:lineRule="auto"/>
              <w:ind w:left="540" w:leftChars="257" w:firstLine="480"/>
              <w:rPr>
                <w:rFonts w:ascii="仿宋_GB2312" w:hAnsi="Times New Roman" w:eastAsia="仿宋_GB2312"/>
                <w:kern w:val="2"/>
                <w:sz w:val="24"/>
                <w:szCs w:val="24"/>
                <w:lang w:val="en-US" w:eastAsia="zh-CN"/>
              </w:rPr>
            </w:pPr>
          </w:p>
        </w:tc>
        <w:tc>
          <w:tcPr>
            <w:tcW w:w="3195" w:type="dxa"/>
          </w:tcPr>
          <w:p w14:paraId="45399B7B">
            <w:pPr>
              <w:pStyle w:val="25"/>
              <w:spacing w:line="360" w:lineRule="auto"/>
              <w:ind w:left="540" w:leftChars="257" w:firstLine="480"/>
              <w:rPr>
                <w:rFonts w:ascii="仿宋_GB2312" w:hAnsi="Times New Roman" w:eastAsia="仿宋_GB2312"/>
                <w:kern w:val="2"/>
                <w:sz w:val="24"/>
                <w:szCs w:val="24"/>
                <w:lang w:val="en-US" w:eastAsia="zh-CN"/>
              </w:rPr>
            </w:pPr>
          </w:p>
        </w:tc>
        <w:tc>
          <w:tcPr>
            <w:tcW w:w="1245" w:type="dxa"/>
          </w:tcPr>
          <w:p w14:paraId="39A9BEC6">
            <w:pPr>
              <w:pStyle w:val="25"/>
              <w:spacing w:line="360" w:lineRule="auto"/>
              <w:ind w:left="540" w:leftChars="257" w:firstLine="480"/>
              <w:rPr>
                <w:rFonts w:ascii="仿宋_GB2312" w:hAnsi="Times New Roman" w:eastAsia="仿宋_GB2312"/>
                <w:kern w:val="2"/>
                <w:sz w:val="24"/>
                <w:szCs w:val="24"/>
                <w:lang w:val="en-US" w:eastAsia="zh-CN"/>
              </w:rPr>
            </w:pPr>
          </w:p>
        </w:tc>
        <w:tc>
          <w:tcPr>
            <w:tcW w:w="1320" w:type="dxa"/>
          </w:tcPr>
          <w:p w14:paraId="16146F76">
            <w:pPr>
              <w:pStyle w:val="25"/>
              <w:spacing w:line="360" w:lineRule="auto"/>
              <w:ind w:left="540" w:leftChars="257" w:firstLine="480"/>
              <w:rPr>
                <w:rFonts w:ascii="仿宋_GB2312" w:hAnsi="Times New Roman" w:eastAsia="仿宋_GB2312"/>
                <w:kern w:val="2"/>
                <w:sz w:val="24"/>
                <w:szCs w:val="24"/>
                <w:lang w:val="en-US" w:eastAsia="zh-CN"/>
              </w:rPr>
            </w:pPr>
          </w:p>
        </w:tc>
        <w:tc>
          <w:tcPr>
            <w:tcW w:w="1050" w:type="dxa"/>
          </w:tcPr>
          <w:p w14:paraId="773EFD82">
            <w:pPr>
              <w:pStyle w:val="25"/>
              <w:spacing w:line="360" w:lineRule="auto"/>
              <w:ind w:left="540" w:leftChars="257" w:firstLine="480"/>
              <w:rPr>
                <w:rFonts w:ascii="仿宋_GB2312" w:hAnsi="Times New Roman" w:eastAsia="仿宋_GB2312"/>
                <w:kern w:val="2"/>
                <w:sz w:val="24"/>
                <w:szCs w:val="24"/>
                <w:lang w:val="en-US" w:eastAsia="zh-CN"/>
              </w:rPr>
            </w:pPr>
          </w:p>
        </w:tc>
        <w:tc>
          <w:tcPr>
            <w:tcW w:w="1068" w:type="dxa"/>
          </w:tcPr>
          <w:p w14:paraId="6D79F72D">
            <w:pPr>
              <w:pStyle w:val="25"/>
              <w:spacing w:line="360" w:lineRule="auto"/>
              <w:ind w:left="540" w:leftChars="257" w:firstLine="480"/>
              <w:rPr>
                <w:rFonts w:ascii="仿宋_GB2312" w:hAnsi="Times New Roman" w:eastAsia="仿宋_GB2312"/>
                <w:kern w:val="2"/>
                <w:sz w:val="24"/>
                <w:szCs w:val="24"/>
                <w:lang w:val="en-US" w:eastAsia="zh-CN"/>
              </w:rPr>
            </w:pPr>
          </w:p>
        </w:tc>
      </w:tr>
      <w:tr w14:paraId="5478A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0864DA3C">
            <w:pPr>
              <w:pStyle w:val="25"/>
              <w:spacing w:line="360" w:lineRule="auto"/>
              <w:ind w:left="540" w:leftChars="257" w:firstLine="480"/>
              <w:rPr>
                <w:rFonts w:ascii="仿宋_GB2312" w:hAnsi="Times New Roman" w:eastAsia="仿宋_GB2312"/>
                <w:kern w:val="2"/>
                <w:sz w:val="24"/>
                <w:szCs w:val="24"/>
                <w:lang w:val="en-US" w:eastAsia="zh-CN"/>
              </w:rPr>
            </w:pPr>
          </w:p>
        </w:tc>
        <w:tc>
          <w:tcPr>
            <w:tcW w:w="3195" w:type="dxa"/>
          </w:tcPr>
          <w:p w14:paraId="3E44EE97">
            <w:pPr>
              <w:pStyle w:val="25"/>
              <w:spacing w:line="360" w:lineRule="auto"/>
              <w:ind w:left="540" w:leftChars="257" w:firstLine="480"/>
              <w:rPr>
                <w:rFonts w:ascii="仿宋_GB2312" w:hAnsi="Times New Roman" w:eastAsia="仿宋_GB2312"/>
                <w:kern w:val="2"/>
                <w:sz w:val="24"/>
                <w:szCs w:val="24"/>
                <w:lang w:val="en-US" w:eastAsia="zh-CN"/>
              </w:rPr>
            </w:pPr>
          </w:p>
        </w:tc>
        <w:tc>
          <w:tcPr>
            <w:tcW w:w="1245" w:type="dxa"/>
          </w:tcPr>
          <w:p w14:paraId="7B5D8339">
            <w:pPr>
              <w:pStyle w:val="25"/>
              <w:spacing w:line="360" w:lineRule="auto"/>
              <w:ind w:left="540" w:leftChars="257" w:firstLine="480"/>
              <w:rPr>
                <w:rFonts w:ascii="仿宋_GB2312" w:hAnsi="Times New Roman" w:eastAsia="仿宋_GB2312"/>
                <w:kern w:val="2"/>
                <w:sz w:val="24"/>
                <w:szCs w:val="24"/>
                <w:lang w:val="en-US" w:eastAsia="zh-CN"/>
              </w:rPr>
            </w:pPr>
          </w:p>
        </w:tc>
        <w:tc>
          <w:tcPr>
            <w:tcW w:w="1320" w:type="dxa"/>
          </w:tcPr>
          <w:p w14:paraId="6A44D2FB">
            <w:pPr>
              <w:pStyle w:val="25"/>
              <w:spacing w:line="360" w:lineRule="auto"/>
              <w:ind w:left="540" w:leftChars="257" w:firstLine="480"/>
              <w:rPr>
                <w:rFonts w:ascii="仿宋_GB2312" w:hAnsi="Times New Roman" w:eastAsia="仿宋_GB2312"/>
                <w:kern w:val="2"/>
                <w:sz w:val="24"/>
                <w:szCs w:val="24"/>
                <w:lang w:val="en-US" w:eastAsia="zh-CN"/>
              </w:rPr>
            </w:pPr>
          </w:p>
        </w:tc>
        <w:tc>
          <w:tcPr>
            <w:tcW w:w="1050" w:type="dxa"/>
          </w:tcPr>
          <w:p w14:paraId="39E48047">
            <w:pPr>
              <w:pStyle w:val="25"/>
              <w:spacing w:line="360" w:lineRule="auto"/>
              <w:ind w:left="540" w:leftChars="257" w:firstLine="480"/>
              <w:rPr>
                <w:rFonts w:ascii="仿宋_GB2312" w:hAnsi="Times New Roman" w:eastAsia="仿宋_GB2312"/>
                <w:kern w:val="2"/>
                <w:sz w:val="24"/>
                <w:szCs w:val="24"/>
                <w:lang w:val="en-US" w:eastAsia="zh-CN"/>
              </w:rPr>
            </w:pPr>
          </w:p>
        </w:tc>
        <w:tc>
          <w:tcPr>
            <w:tcW w:w="1068" w:type="dxa"/>
          </w:tcPr>
          <w:p w14:paraId="119074C4">
            <w:pPr>
              <w:pStyle w:val="25"/>
              <w:spacing w:line="360" w:lineRule="auto"/>
              <w:ind w:left="540" w:leftChars="257" w:firstLine="480"/>
              <w:rPr>
                <w:rFonts w:ascii="仿宋_GB2312" w:hAnsi="Times New Roman" w:eastAsia="仿宋_GB2312"/>
                <w:kern w:val="2"/>
                <w:sz w:val="24"/>
                <w:szCs w:val="24"/>
                <w:lang w:val="en-US" w:eastAsia="zh-CN"/>
              </w:rPr>
            </w:pPr>
          </w:p>
        </w:tc>
      </w:tr>
      <w:tr w14:paraId="6A0C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tcPr>
          <w:p w14:paraId="0BF672EA">
            <w:pPr>
              <w:pStyle w:val="25"/>
              <w:spacing w:line="360" w:lineRule="auto"/>
              <w:ind w:left="540" w:leftChars="257" w:firstLine="480"/>
              <w:rPr>
                <w:rFonts w:ascii="仿宋_GB2312" w:hAnsi="Times New Roman" w:eastAsia="仿宋_GB2312"/>
                <w:kern w:val="2"/>
                <w:sz w:val="24"/>
                <w:szCs w:val="24"/>
                <w:lang w:val="en-US" w:eastAsia="zh-CN"/>
              </w:rPr>
            </w:pPr>
          </w:p>
        </w:tc>
        <w:tc>
          <w:tcPr>
            <w:tcW w:w="3195" w:type="dxa"/>
          </w:tcPr>
          <w:p w14:paraId="670ADE1F">
            <w:pPr>
              <w:pStyle w:val="25"/>
              <w:spacing w:line="360" w:lineRule="auto"/>
              <w:ind w:left="540" w:leftChars="257" w:firstLine="480"/>
              <w:rPr>
                <w:rFonts w:ascii="仿宋_GB2312" w:hAnsi="Times New Roman" w:eastAsia="仿宋_GB2312"/>
                <w:kern w:val="2"/>
                <w:sz w:val="24"/>
                <w:szCs w:val="24"/>
                <w:lang w:val="en-US" w:eastAsia="zh-CN"/>
              </w:rPr>
            </w:pPr>
          </w:p>
        </w:tc>
        <w:tc>
          <w:tcPr>
            <w:tcW w:w="1245" w:type="dxa"/>
          </w:tcPr>
          <w:p w14:paraId="0366FEF0">
            <w:pPr>
              <w:pStyle w:val="25"/>
              <w:spacing w:line="360" w:lineRule="auto"/>
              <w:ind w:left="540" w:leftChars="257" w:firstLine="480"/>
              <w:rPr>
                <w:rFonts w:ascii="仿宋_GB2312" w:hAnsi="Times New Roman" w:eastAsia="仿宋_GB2312"/>
                <w:kern w:val="2"/>
                <w:sz w:val="24"/>
                <w:szCs w:val="24"/>
                <w:lang w:val="en-US" w:eastAsia="zh-CN"/>
              </w:rPr>
            </w:pPr>
          </w:p>
        </w:tc>
        <w:tc>
          <w:tcPr>
            <w:tcW w:w="1320" w:type="dxa"/>
          </w:tcPr>
          <w:p w14:paraId="5F1A4B56">
            <w:pPr>
              <w:pStyle w:val="25"/>
              <w:spacing w:line="360" w:lineRule="auto"/>
              <w:ind w:left="540" w:leftChars="257" w:firstLine="480"/>
              <w:rPr>
                <w:rFonts w:ascii="仿宋_GB2312" w:hAnsi="Times New Roman" w:eastAsia="仿宋_GB2312"/>
                <w:kern w:val="2"/>
                <w:sz w:val="24"/>
                <w:szCs w:val="24"/>
                <w:lang w:val="en-US" w:eastAsia="zh-CN"/>
              </w:rPr>
            </w:pPr>
          </w:p>
        </w:tc>
        <w:tc>
          <w:tcPr>
            <w:tcW w:w="1050" w:type="dxa"/>
          </w:tcPr>
          <w:p w14:paraId="0829EFE3">
            <w:pPr>
              <w:pStyle w:val="25"/>
              <w:spacing w:line="360" w:lineRule="auto"/>
              <w:ind w:left="540" w:leftChars="257" w:firstLine="480"/>
              <w:rPr>
                <w:rFonts w:ascii="仿宋_GB2312" w:hAnsi="Times New Roman" w:eastAsia="仿宋_GB2312"/>
                <w:kern w:val="2"/>
                <w:sz w:val="24"/>
                <w:szCs w:val="24"/>
                <w:lang w:val="en-US" w:eastAsia="zh-CN"/>
              </w:rPr>
            </w:pPr>
          </w:p>
        </w:tc>
        <w:tc>
          <w:tcPr>
            <w:tcW w:w="1068" w:type="dxa"/>
          </w:tcPr>
          <w:p w14:paraId="4BAEE6FE">
            <w:pPr>
              <w:pStyle w:val="25"/>
              <w:spacing w:line="360" w:lineRule="auto"/>
              <w:ind w:left="540" w:leftChars="257" w:firstLine="480"/>
              <w:rPr>
                <w:rFonts w:ascii="仿宋_GB2312" w:hAnsi="Times New Roman" w:eastAsia="仿宋_GB2312"/>
                <w:kern w:val="2"/>
                <w:sz w:val="24"/>
                <w:szCs w:val="24"/>
                <w:lang w:val="en-US" w:eastAsia="zh-CN"/>
              </w:rPr>
            </w:pPr>
          </w:p>
        </w:tc>
      </w:tr>
      <w:tr w14:paraId="304C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75CEA903">
            <w:pPr>
              <w:pStyle w:val="25"/>
              <w:spacing w:line="360" w:lineRule="auto"/>
              <w:ind w:left="540" w:leftChars="257" w:firstLine="480"/>
              <w:rPr>
                <w:rFonts w:ascii="仿宋_GB2312" w:hAnsi="Times New Roman" w:eastAsia="仿宋_GB2312"/>
                <w:kern w:val="2"/>
                <w:sz w:val="24"/>
                <w:szCs w:val="24"/>
                <w:lang w:val="en-US" w:eastAsia="zh-CN"/>
              </w:rPr>
            </w:pPr>
          </w:p>
        </w:tc>
        <w:tc>
          <w:tcPr>
            <w:tcW w:w="3195" w:type="dxa"/>
          </w:tcPr>
          <w:p w14:paraId="6D05FDF4">
            <w:pPr>
              <w:pStyle w:val="25"/>
              <w:spacing w:line="360" w:lineRule="auto"/>
              <w:ind w:left="540" w:leftChars="257" w:firstLine="480"/>
              <w:rPr>
                <w:rFonts w:ascii="仿宋_GB2312" w:hAnsi="Times New Roman" w:eastAsia="仿宋_GB2312"/>
                <w:kern w:val="2"/>
                <w:sz w:val="24"/>
                <w:szCs w:val="24"/>
                <w:lang w:val="en-US" w:eastAsia="zh-CN"/>
              </w:rPr>
            </w:pPr>
          </w:p>
        </w:tc>
        <w:tc>
          <w:tcPr>
            <w:tcW w:w="1245" w:type="dxa"/>
          </w:tcPr>
          <w:p w14:paraId="037D093C">
            <w:pPr>
              <w:pStyle w:val="25"/>
              <w:spacing w:line="360" w:lineRule="auto"/>
              <w:ind w:left="540" w:leftChars="257" w:firstLine="480"/>
              <w:rPr>
                <w:rFonts w:ascii="仿宋_GB2312" w:hAnsi="Times New Roman" w:eastAsia="仿宋_GB2312"/>
                <w:kern w:val="2"/>
                <w:sz w:val="24"/>
                <w:szCs w:val="24"/>
                <w:lang w:val="en-US" w:eastAsia="zh-CN"/>
              </w:rPr>
            </w:pPr>
          </w:p>
        </w:tc>
        <w:tc>
          <w:tcPr>
            <w:tcW w:w="1320" w:type="dxa"/>
          </w:tcPr>
          <w:p w14:paraId="21E96856">
            <w:pPr>
              <w:pStyle w:val="25"/>
              <w:spacing w:line="360" w:lineRule="auto"/>
              <w:ind w:left="540" w:leftChars="257" w:firstLine="480"/>
              <w:rPr>
                <w:rFonts w:ascii="仿宋_GB2312" w:hAnsi="Times New Roman" w:eastAsia="仿宋_GB2312"/>
                <w:kern w:val="2"/>
                <w:sz w:val="24"/>
                <w:szCs w:val="24"/>
                <w:lang w:val="en-US" w:eastAsia="zh-CN"/>
              </w:rPr>
            </w:pPr>
          </w:p>
        </w:tc>
        <w:tc>
          <w:tcPr>
            <w:tcW w:w="1050" w:type="dxa"/>
          </w:tcPr>
          <w:p w14:paraId="227BB03B">
            <w:pPr>
              <w:pStyle w:val="25"/>
              <w:spacing w:line="360" w:lineRule="auto"/>
              <w:ind w:left="540" w:leftChars="257" w:firstLine="480"/>
              <w:rPr>
                <w:rFonts w:ascii="仿宋_GB2312" w:hAnsi="Times New Roman" w:eastAsia="仿宋_GB2312"/>
                <w:kern w:val="2"/>
                <w:sz w:val="24"/>
                <w:szCs w:val="24"/>
                <w:lang w:val="en-US" w:eastAsia="zh-CN"/>
              </w:rPr>
            </w:pPr>
          </w:p>
        </w:tc>
        <w:tc>
          <w:tcPr>
            <w:tcW w:w="1068" w:type="dxa"/>
          </w:tcPr>
          <w:p w14:paraId="3A8A22A3">
            <w:pPr>
              <w:pStyle w:val="25"/>
              <w:spacing w:line="360" w:lineRule="auto"/>
              <w:ind w:left="540" w:leftChars="257" w:firstLine="480"/>
              <w:rPr>
                <w:rFonts w:ascii="仿宋_GB2312" w:hAnsi="Times New Roman" w:eastAsia="仿宋_GB2312"/>
                <w:kern w:val="2"/>
                <w:sz w:val="24"/>
                <w:szCs w:val="24"/>
                <w:lang w:val="en-US" w:eastAsia="zh-CN"/>
              </w:rPr>
            </w:pPr>
          </w:p>
        </w:tc>
      </w:tr>
      <w:tr w14:paraId="3D177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3" w:hRule="atLeast"/>
          <w:jc w:val="center"/>
        </w:trPr>
        <w:tc>
          <w:tcPr>
            <w:tcW w:w="708" w:type="dxa"/>
          </w:tcPr>
          <w:p w14:paraId="55A63AA3">
            <w:pPr>
              <w:pStyle w:val="25"/>
              <w:spacing w:line="360" w:lineRule="auto"/>
              <w:ind w:left="540" w:leftChars="257" w:firstLine="480"/>
              <w:rPr>
                <w:rFonts w:ascii="仿宋_GB2312" w:hAnsi="Times New Roman" w:eastAsia="仿宋_GB2312"/>
                <w:kern w:val="2"/>
                <w:sz w:val="24"/>
                <w:szCs w:val="24"/>
                <w:lang w:val="en-US" w:eastAsia="zh-CN"/>
              </w:rPr>
            </w:pPr>
          </w:p>
        </w:tc>
        <w:tc>
          <w:tcPr>
            <w:tcW w:w="3195" w:type="dxa"/>
          </w:tcPr>
          <w:p w14:paraId="764566AA">
            <w:pPr>
              <w:pStyle w:val="25"/>
              <w:spacing w:line="360" w:lineRule="auto"/>
              <w:ind w:left="540" w:leftChars="257" w:firstLine="480"/>
              <w:rPr>
                <w:rFonts w:ascii="仿宋_GB2312" w:hAnsi="Times New Roman" w:eastAsia="仿宋_GB2312"/>
                <w:kern w:val="2"/>
                <w:sz w:val="24"/>
                <w:szCs w:val="24"/>
                <w:lang w:val="en-US" w:eastAsia="zh-CN"/>
              </w:rPr>
            </w:pPr>
          </w:p>
        </w:tc>
        <w:tc>
          <w:tcPr>
            <w:tcW w:w="1245" w:type="dxa"/>
          </w:tcPr>
          <w:p w14:paraId="590CE1BD">
            <w:pPr>
              <w:pStyle w:val="25"/>
              <w:spacing w:line="360" w:lineRule="auto"/>
              <w:ind w:left="540" w:leftChars="257" w:firstLine="480"/>
              <w:rPr>
                <w:rFonts w:ascii="仿宋_GB2312" w:hAnsi="Times New Roman" w:eastAsia="仿宋_GB2312"/>
                <w:kern w:val="2"/>
                <w:sz w:val="24"/>
                <w:szCs w:val="24"/>
                <w:lang w:val="en-US" w:eastAsia="zh-CN"/>
              </w:rPr>
            </w:pPr>
          </w:p>
        </w:tc>
        <w:tc>
          <w:tcPr>
            <w:tcW w:w="1320" w:type="dxa"/>
          </w:tcPr>
          <w:p w14:paraId="4587376C">
            <w:pPr>
              <w:pStyle w:val="25"/>
              <w:spacing w:line="360" w:lineRule="auto"/>
              <w:ind w:left="540" w:leftChars="257" w:firstLine="480"/>
              <w:rPr>
                <w:rFonts w:ascii="仿宋_GB2312" w:hAnsi="Times New Roman" w:eastAsia="仿宋_GB2312"/>
                <w:kern w:val="2"/>
                <w:sz w:val="24"/>
                <w:szCs w:val="24"/>
                <w:lang w:val="en-US" w:eastAsia="zh-CN"/>
              </w:rPr>
            </w:pPr>
          </w:p>
        </w:tc>
        <w:tc>
          <w:tcPr>
            <w:tcW w:w="1050" w:type="dxa"/>
          </w:tcPr>
          <w:p w14:paraId="559DCE8F">
            <w:pPr>
              <w:pStyle w:val="25"/>
              <w:spacing w:line="360" w:lineRule="auto"/>
              <w:ind w:left="540" w:leftChars="257" w:firstLine="480"/>
              <w:rPr>
                <w:rFonts w:ascii="仿宋_GB2312" w:hAnsi="Times New Roman" w:eastAsia="仿宋_GB2312"/>
                <w:kern w:val="2"/>
                <w:sz w:val="24"/>
                <w:szCs w:val="24"/>
                <w:lang w:val="en-US" w:eastAsia="zh-CN"/>
              </w:rPr>
            </w:pPr>
          </w:p>
        </w:tc>
        <w:tc>
          <w:tcPr>
            <w:tcW w:w="1068" w:type="dxa"/>
          </w:tcPr>
          <w:p w14:paraId="0AC8004C">
            <w:pPr>
              <w:pStyle w:val="25"/>
              <w:spacing w:line="360" w:lineRule="auto"/>
              <w:ind w:left="540" w:leftChars="257" w:firstLine="480"/>
              <w:rPr>
                <w:rFonts w:ascii="仿宋_GB2312" w:hAnsi="Times New Roman" w:eastAsia="仿宋_GB2312"/>
                <w:kern w:val="2"/>
                <w:sz w:val="24"/>
                <w:szCs w:val="24"/>
                <w:lang w:val="en-US" w:eastAsia="zh-CN"/>
              </w:rPr>
            </w:pPr>
          </w:p>
        </w:tc>
      </w:tr>
    </w:tbl>
    <w:p w14:paraId="0F46A67B">
      <w:pPr>
        <w:pStyle w:val="25"/>
        <w:spacing w:line="360" w:lineRule="auto"/>
        <w:ind w:left="540" w:leftChars="257" w:firstLine="480"/>
        <w:rPr>
          <w:rFonts w:ascii="Times New Roman" w:hAnsi="Times New Roman"/>
          <w:sz w:val="24"/>
          <w:szCs w:val="24"/>
        </w:rPr>
      </w:pPr>
    </w:p>
    <w:p w14:paraId="6AFAE587">
      <w:pPr>
        <w:pStyle w:val="17"/>
        <w:jc w:val="center"/>
        <w:rPr>
          <w:rFonts w:ascii="Times New Roman" w:hAnsi="Times New Roman" w:cs="Times New Roman"/>
          <w:color w:val="auto"/>
          <w:u w:val="single"/>
        </w:rPr>
      </w:pPr>
      <w:r>
        <w:rPr>
          <w:rFonts w:ascii="Times New Roman" w:hAnsi="Times New Roman" w:cs="Times New Roman"/>
          <w:color w:val="auto"/>
        </w:rPr>
        <w:t>投标人（企业电子签章）：</w:t>
      </w:r>
      <w:r>
        <w:rPr>
          <w:rFonts w:ascii="Times New Roman" w:hAnsi="Times New Roman" w:cs="Times New Roman"/>
          <w:color w:val="auto"/>
          <w:u w:val="single"/>
        </w:rPr>
        <w:t xml:space="preserve">                 </w:t>
      </w:r>
    </w:p>
    <w:p w14:paraId="2B9A9AB0">
      <w:pPr>
        <w:pStyle w:val="39"/>
        <w:ind w:left="556" w:hanging="278"/>
        <w:rPr>
          <w:rFonts w:hint="default" w:eastAsia="宋体"/>
          <w:kern w:val="0"/>
          <w:sz w:val="24"/>
          <w:szCs w:val="24"/>
          <w:lang w:val="en-US" w:eastAsia="zh-CN"/>
        </w:rPr>
      </w:pPr>
      <w:r>
        <w:rPr>
          <w:lang w:eastAsia="zh-CN"/>
        </w:rPr>
        <w:br w:type="page"/>
      </w:r>
    </w:p>
    <w:bookmarkEnd w:id="401"/>
    <w:p w14:paraId="46121636">
      <w:pPr>
        <w:pStyle w:val="3"/>
        <w:spacing w:before="0" w:after="0" w:line="360" w:lineRule="auto"/>
        <w:jc w:val="center"/>
        <w:rPr>
          <w:rFonts w:ascii="Times New Roman" w:hAnsi="Times New Roman" w:eastAsia="方正小标宋_GBK"/>
          <w:b w:val="0"/>
          <w:color w:val="auto"/>
          <w:sz w:val="30"/>
          <w:szCs w:val="30"/>
        </w:rPr>
      </w:pPr>
      <w:bookmarkStart w:id="435" w:name="_Toc2003907413"/>
      <w:bookmarkStart w:id="436" w:name="_Toc42148613"/>
      <w:bookmarkStart w:id="437" w:name="_Toc1407304042"/>
      <w:bookmarkStart w:id="438" w:name="_Toc1531555161"/>
      <w:bookmarkStart w:id="439" w:name="_Toc642155508"/>
      <w:bookmarkStart w:id="440" w:name="_Toc374912780"/>
      <w:bookmarkStart w:id="441" w:name="_Toc71543325"/>
      <w:bookmarkStart w:id="442" w:name="_Toc1191518010"/>
      <w:bookmarkStart w:id="443" w:name="_Toc91783675"/>
      <w:bookmarkStart w:id="444" w:name="_Toc1783728506"/>
      <w:r>
        <w:rPr>
          <w:rFonts w:hint="eastAsia" w:ascii="Times New Roman" w:hAnsi="Times New Roman" w:eastAsia="方正小标宋_GBK"/>
          <w:b w:val="0"/>
          <w:color w:val="auto"/>
          <w:sz w:val="30"/>
          <w:szCs w:val="30"/>
          <w:lang w:val="en-US" w:eastAsia="zh-CN"/>
        </w:rPr>
        <w:t>八</w:t>
      </w:r>
      <w:r>
        <w:rPr>
          <w:rFonts w:ascii="Times New Roman" w:hAnsi="Times New Roman" w:eastAsia="方正小标宋_GBK"/>
          <w:b w:val="0"/>
          <w:color w:val="auto"/>
          <w:sz w:val="30"/>
          <w:szCs w:val="30"/>
          <w:lang w:val="en-US" w:eastAsia="zh-CN"/>
        </w:rPr>
        <w:t>、</w:t>
      </w:r>
      <w:r>
        <w:rPr>
          <w:rFonts w:hint="eastAsia" w:ascii="Times New Roman" w:hAnsi="Times New Roman" w:eastAsia="方正小标宋_GBK"/>
          <w:b w:val="0"/>
          <w:color w:val="auto"/>
          <w:sz w:val="30"/>
          <w:szCs w:val="30"/>
          <w:lang w:val="en-US" w:eastAsia="zh-CN"/>
        </w:rPr>
        <w:t>服务</w:t>
      </w:r>
      <w:r>
        <w:rPr>
          <w:rFonts w:ascii="Times New Roman" w:hAnsi="Times New Roman" w:eastAsia="方正小标宋_GBK"/>
          <w:b w:val="0"/>
          <w:color w:val="auto"/>
          <w:sz w:val="30"/>
          <w:szCs w:val="30"/>
        </w:rPr>
        <w:t>规格偏离表</w:t>
      </w:r>
    </w:p>
    <w:p w14:paraId="12B98258">
      <w:pPr>
        <w:pStyle w:val="25"/>
        <w:spacing w:line="360" w:lineRule="auto"/>
        <w:ind w:left="540" w:leftChars="257" w:firstLine="480"/>
        <w:rPr>
          <w:rFonts w:ascii="Times New Roman" w:hAnsi="Times New Roman"/>
          <w:sz w:val="24"/>
          <w:szCs w:val="24"/>
        </w:rPr>
      </w:pPr>
    </w:p>
    <w:tbl>
      <w:tblPr>
        <w:tblStyle w:val="51"/>
        <w:tblW w:w="0" w:type="auto"/>
        <w:tblInd w:w="-47" w:type="dxa"/>
        <w:tblLayout w:type="fixed"/>
        <w:tblCellMar>
          <w:top w:w="0" w:type="dxa"/>
          <w:left w:w="108" w:type="dxa"/>
          <w:bottom w:w="0" w:type="dxa"/>
          <w:right w:w="108" w:type="dxa"/>
        </w:tblCellMar>
      </w:tblPr>
      <w:tblGrid>
        <w:gridCol w:w="5812"/>
        <w:gridCol w:w="2788"/>
      </w:tblGrid>
      <w:tr w14:paraId="0569ED7C">
        <w:tblPrEx>
          <w:tblCellMar>
            <w:top w:w="0" w:type="dxa"/>
            <w:left w:w="108" w:type="dxa"/>
            <w:bottom w:w="0" w:type="dxa"/>
            <w:right w:w="108" w:type="dxa"/>
          </w:tblCellMar>
        </w:tblPrEx>
        <w:tc>
          <w:tcPr>
            <w:tcW w:w="5812" w:type="dxa"/>
          </w:tcPr>
          <w:p w14:paraId="3B7AB86D">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豫财招标采购-2024-1257</w:t>
            </w:r>
          </w:p>
        </w:tc>
        <w:tc>
          <w:tcPr>
            <w:tcW w:w="2788" w:type="dxa"/>
          </w:tcPr>
          <w:p w14:paraId="47E7BA56">
            <w:pPr>
              <w:spacing w:line="440" w:lineRule="exact"/>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金额单位：元人民币</w:t>
            </w:r>
          </w:p>
        </w:tc>
      </w:tr>
    </w:tbl>
    <w:p w14:paraId="227CDA44">
      <w:pPr>
        <w:pStyle w:val="25"/>
        <w:spacing w:line="360" w:lineRule="auto"/>
        <w:rPr>
          <w:rFonts w:ascii="Times New Roman" w:hAnsi="Times New Roman"/>
          <w:sz w:val="2"/>
          <w:szCs w:val="2"/>
          <w:lang w:val="en-US" w:eastAsia="zh-CN"/>
        </w:rPr>
      </w:pPr>
    </w:p>
    <w:tbl>
      <w:tblPr>
        <w:tblStyle w:val="51"/>
        <w:tblW w:w="8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264"/>
        <w:gridCol w:w="1985"/>
        <w:gridCol w:w="1511"/>
        <w:gridCol w:w="1050"/>
        <w:gridCol w:w="1068"/>
      </w:tblGrid>
      <w:tr w14:paraId="7435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vAlign w:val="center"/>
          </w:tcPr>
          <w:p w14:paraId="638AF5E3">
            <w:pPr>
              <w:pStyle w:val="25"/>
              <w:spacing w:line="360" w:lineRule="auto"/>
              <w:ind w:left="-31" w:leftChars="-15"/>
              <w:jc w:val="center"/>
              <w:rPr>
                <w:rFonts w:ascii="仿宋_GB2312" w:hAnsi="Times New Roman" w:eastAsia="仿宋_GB2312"/>
                <w:b/>
                <w:kern w:val="2"/>
                <w:sz w:val="24"/>
                <w:szCs w:val="24"/>
                <w:lang w:val="en-US" w:eastAsia="zh-CN"/>
              </w:rPr>
            </w:pPr>
            <w:r>
              <w:rPr>
                <w:rFonts w:hint="eastAsia" w:ascii="仿宋_GB2312" w:hAnsi="Times New Roman" w:eastAsia="仿宋_GB2312"/>
                <w:b/>
                <w:kern w:val="2"/>
                <w:sz w:val="24"/>
                <w:szCs w:val="24"/>
                <w:lang w:val="en-US" w:eastAsia="zh-CN"/>
              </w:rPr>
              <w:t>序号</w:t>
            </w:r>
          </w:p>
        </w:tc>
        <w:tc>
          <w:tcPr>
            <w:tcW w:w="2264" w:type="dxa"/>
            <w:vAlign w:val="center"/>
          </w:tcPr>
          <w:p w14:paraId="5D924763">
            <w:pPr>
              <w:pStyle w:val="25"/>
              <w:spacing w:line="360" w:lineRule="auto"/>
              <w:jc w:val="center"/>
              <w:rPr>
                <w:rFonts w:ascii="仿宋_GB2312" w:hAnsi="Times New Roman" w:eastAsia="仿宋_GB2312"/>
                <w:b/>
                <w:kern w:val="2"/>
                <w:sz w:val="24"/>
                <w:szCs w:val="24"/>
                <w:lang w:val="en-US" w:eastAsia="zh-CN"/>
              </w:rPr>
            </w:pPr>
            <w:r>
              <w:rPr>
                <w:rFonts w:hint="eastAsia" w:ascii="仿宋_GB2312" w:hAnsi="Times New Roman" w:eastAsia="仿宋_GB2312"/>
                <w:b/>
                <w:kern w:val="2"/>
                <w:sz w:val="24"/>
                <w:szCs w:val="24"/>
                <w:lang w:val="en-US" w:eastAsia="zh-CN"/>
              </w:rPr>
              <w:t>服务名称</w:t>
            </w:r>
          </w:p>
        </w:tc>
        <w:tc>
          <w:tcPr>
            <w:tcW w:w="1985" w:type="dxa"/>
            <w:vAlign w:val="center"/>
          </w:tcPr>
          <w:p w14:paraId="15DF070A">
            <w:pPr>
              <w:pStyle w:val="25"/>
              <w:spacing w:line="360" w:lineRule="auto"/>
              <w:ind w:left="-206" w:leftChars="-98" w:right="-166" w:rightChars="-79"/>
              <w:jc w:val="center"/>
              <w:rPr>
                <w:rFonts w:ascii="仿宋_GB2312" w:hAnsi="Times New Roman" w:eastAsia="仿宋_GB2312"/>
                <w:b/>
                <w:kern w:val="2"/>
                <w:sz w:val="24"/>
                <w:szCs w:val="24"/>
                <w:lang w:val="en-US" w:eastAsia="zh-CN"/>
              </w:rPr>
            </w:pPr>
            <w:r>
              <w:rPr>
                <w:rFonts w:hint="eastAsia" w:ascii="仿宋_GB2312" w:hAnsi="Times New Roman" w:eastAsia="仿宋_GB2312"/>
                <w:b/>
                <w:kern w:val="2"/>
                <w:sz w:val="24"/>
                <w:szCs w:val="24"/>
                <w:lang w:val="en-US" w:eastAsia="zh-CN"/>
              </w:rPr>
              <w:t>招标要求</w:t>
            </w:r>
          </w:p>
        </w:tc>
        <w:tc>
          <w:tcPr>
            <w:tcW w:w="1511" w:type="dxa"/>
            <w:vAlign w:val="center"/>
          </w:tcPr>
          <w:p w14:paraId="35C07058">
            <w:pPr>
              <w:pStyle w:val="25"/>
              <w:spacing w:line="360" w:lineRule="auto"/>
              <w:ind w:left="-48" w:leftChars="-23"/>
              <w:jc w:val="center"/>
              <w:rPr>
                <w:rFonts w:ascii="仿宋_GB2312" w:hAnsi="Times New Roman" w:eastAsia="仿宋_GB2312"/>
                <w:b/>
                <w:kern w:val="2"/>
                <w:sz w:val="24"/>
                <w:szCs w:val="24"/>
                <w:lang w:val="en-US" w:eastAsia="zh-CN"/>
              </w:rPr>
            </w:pPr>
            <w:r>
              <w:rPr>
                <w:rFonts w:hint="eastAsia" w:ascii="仿宋_GB2312" w:hAnsi="Times New Roman" w:eastAsia="仿宋_GB2312"/>
                <w:b/>
                <w:kern w:val="2"/>
                <w:sz w:val="24"/>
                <w:szCs w:val="24"/>
                <w:lang w:val="en-US" w:eastAsia="zh-CN"/>
              </w:rPr>
              <w:t>投标响应</w:t>
            </w:r>
          </w:p>
        </w:tc>
        <w:tc>
          <w:tcPr>
            <w:tcW w:w="1050" w:type="dxa"/>
            <w:vAlign w:val="center"/>
          </w:tcPr>
          <w:p w14:paraId="75B70C9E">
            <w:pPr>
              <w:pStyle w:val="25"/>
              <w:spacing w:line="360" w:lineRule="auto"/>
              <w:ind w:left="-34" w:leftChars="-16"/>
              <w:jc w:val="center"/>
              <w:rPr>
                <w:rFonts w:ascii="仿宋_GB2312" w:hAnsi="Times New Roman" w:eastAsia="仿宋_GB2312"/>
                <w:b/>
                <w:kern w:val="2"/>
                <w:sz w:val="24"/>
                <w:szCs w:val="24"/>
                <w:lang w:val="en-US" w:eastAsia="zh-CN"/>
              </w:rPr>
            </w:pPr>
            <w:r>
              <w:rPr>
                <w:rFonts w:hint="eastAsia" w:ascii="仿宋_GB2312" w:hAnsi="Times New Roman" w:eastAsia="仿宋_GB2312"/>
                <w:b/>
                <w:kern w:val="2"/>
                <w:sz w:val="24"/>
                <w:szCs w:val="24"/>
                <w:lang w:val="en-US" w:eastAsia="zh-CN"/>
              </w:rPr>
              <w:t>偏离</w:t>
            </w:r>
          </w:p>
        </w:tc>
        <w:tc>
          <w:tcPr>
            <w:tcW w:w="1068" w:type="dxa"/>
            <w:vAlign w:val="center"/>
          </w:tcPr>
          <w:p w14:paraId="46759FCE">
            <w:pPr>
              <w:pStyle w:val="25"/>
              <w:spacing w:line="360" w:lineRule="auto"/>
              <w:ind w:left="-82" w:leftChars="-39"/>
              <w:jc w:val="center"/>
              <w:rPr>
                <w:rFonts w:ascii="仿宋_GB2312" w:hAnsi="Times New Roman" w:eastAsia="仿宋_GB2312"/>
                <w:b/>
                <w:kern w:val="2"/>
                <w:sz w:val="24"/>
                <w:szCs w:val="24"/>
                <w:lang w:val="en-US" w:eastAsia="zh-CN"/>
              </w:rPr>
            </w:pPr>
            <w:r>
              <w:rPr>
                <w:rFonts w:hint="eastAsia" w:ascii="仿宋_GB2312" w:hAnsi="Times New Roman" w:eastAsia="仿宋_GB2312"/>
                <w:b/>
                <w:kern w:val="2"/>
                <w:sz w:val="24"/>
                <w:szCs w:val="24"/>
                <w:lang w:val="en-US" w:eastAsia="zh-CN"/>
              </w:rPr>
              <w:t>说明</w:t>
            </w:r>
          </w:p>
        </w:tc>
      </w:tr>
      <w:tr w14:paraId="20BEA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0FF1B2AC">
            <w:pPr>
              <w:pStyle w:val="25"/>
              <w:spacing w:line="360" w:lineRule="auto"/>
              <w:ind w:left="540" w:leftChars="257" w:firstLine="480"/>
              <w:rPr>
                <w:rFonts w:ascii="仿宋_GB2312" w:hAnsi="Times New Roman" w:eastAsia="仿宋_GB2312"/>
                <w:kern w:val="2"/>
                <w:sz w:val="24"/>
                <w:szCs w:val="24"/>
                <w:lang w:val="en-US" w:eastAsia="zh-CN"/>
              </w:rPr>
            </w:pPr>
          </w:p>
        </w:tc>
        <w:tc>
          <w:tcPr>
            <w:tcW w:w="2264" w:type="dxa"/>
          </w:tcPr>
          <w:p w14:paraId="6EEABB0A">
            <w:pPr>
              <w:pStyle w:val="25"/>
              <w:spacing w:line="360" w:lineRule="auto"/>
              <w:ind w:left="540" w:leftChars="257" w:firstLine="480"/>
              <w:rPr>
                <w:rFonts w:ascii="仿宋_GB2312" w:hAnsi="Times New Roman" w:eastAsia="仿宋_GB2312"/>
                <w:kern w:val="2"/>
                <w:sz w:val="24"/>
                <w:szCs w:val="24"/>
                <w:lang w:val="en-US" w:eastAsia="zh-CN"/>
              </w:rPr>
            </w:pPr>
          </w:p>
        </w:tc>
        <w:tc>
          <w:tcPr>
            <w:tcW w:w="1985" w:type="dxa"/>
          </w:tcPr>
          <w:p w14:paraId="617EAB4B">
            <w:pPr>
              <w:pStyle w:val="25"/>
              <w:spacing w:line="360" w:lineRule="auto"/>
              <w:ind w:left="540" w:leftChars="257" w:firstLine="480"/>
              <w:rPr>
                <w:rFonts w:ascii="仿宋_GB2312" w:hAnsi="Times New Roman" w:eastAsia="仿宋_GB2312"/>
                <w:kern w:val="2"/>
                <w:sz w:val="24"/>
                <w:szCs w:val="24"/>
                <w:lang w:val="en-US" w:eastAsia="zh-CN"/>
              </w:rPr>
            </w:pPr>
          </w:p>
        </w:tc>
        <w:tc>
          <w:tcPr>
            <w:tcW w:w="1511" w:type="dxa"/>
          </w:tcPr>
          <w:p w14:paraId="5528C77A">
            <w:pPr>
              <w:pStyle w:val="25"/>
              <w:spacing w:line="360" w:lineRule="auto"/>
              <w:ind w:left="540" w:leftChars="257" w:firstLine="480"/>
              <w:rPr>
                <w:rFonts w:ascii="仿宋_GB2312" w:hAnsi="Times New Roman" w:eastAsia="仿宋_GB2312"/>
                <w:kern w:val="2"/>
                <w:sz w:val="24"/>
                <w:szCs w:val="24"/>
                <w:lang w:val="en-US" w:eastAsia="zh-CN"/>
              </w:rPr>
            </w:pPr>
          </w:p>
        </w:tc>
        <w:tc>
          <w:tcPr>
            <w:tcW w:w="1050" w:type="dxa"/>
          </w:tcPr>
          <w:p w14:paraId="0983B580">
            <w:pPr>
              <w:pStyle w:val="25"/>
              <w:spacing w:line="360" w:lineRule="auto"/>
              <w:ind w:left="540" w:leftChars="257" w:firstLine="480"/>
              <w:rPr>
                <w:rFonts w:ascii="仿宋_GB2312" w:hAnsi="Times New Roman" w:eastAsia="仿宋_GB2312"/>
                <w:kern w:val="2"/>
                <w:sz w:val="24"/>
                <w:szCs w:val="24"/>
                <w:lang w:val="en-US" w:eastAsia="zh-CN"/>
              </w:rPr>
            </w:pPr>
          </w:p>
        </w:tc>
        <w:tc>
          <w:tcPr>
            <w:tcW w:w="1068" w:type="dxa"/>
          </w:tcPr>
          <w:p w14:paraId="48FD201E">
            <w:pPr>
              <w:pStyle w:val="25"/>
              <w:spacing w:line="360" w:lineRule="auto"/>
              <w:ind w:left="540" w:leftChars="257" w:firstLine="480"/>
              <w:rPr>
                <w:rFonts w:ascii="仿宋_GB2312" w:hAnsi="Times New Roman" w:eastAsia="仿宋_GB2312"/>
                <w:kern w:val="2"/>
                <w:sz w:val="24"/>
                <w:szCs w:val="24"/>
                <w:lang w:val="en-US" w:eastAsia="zh-CN"/>
              </w:rPr>
            </w:pPr>
          </w:p>
        </w:tc>
      </w:tr>
      <w:tr w14:paraId="1942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65C21D0A">
            <w:pPr>
              <w:pStyle w:val="25"/>
              <w:spacing w:line="360" w:lineRule="auto"/>
              <w:ind w:left="540" w:leftChars="257" w:firstLine="480"/>
              <w:rPr>
                <w:rFonts w:ascii="仿宋_GB2312" w:hAnsi="Times New Roman" w:eastAsia="仿宋_GB2312"/>
                <w:kern w:val="2"/>
                <w:sz w:val="24"/>
                <w:szCs w:val="24"/>
                <w:lang w:val="en-US" w:eastAsia="zh-CN"/>
              </w:rPr>
            </w:pPr>
          </w:p>
        </w:tc>
        <w:tc>
          <w:tcPr>
            <w:tcW w:w="2264" w:type="dxa"/>
          </w:tcPr>
          <w:p w14:paraId="445D650A">
            <w:pPr>
              <w:pStyle w:val="25"/>
              <w:spacing w:line="360" w:lineRule="auto"/>
              <w:ind w:left="540" w:leftChars="257" w:firstLine="480"/>
              <w:rPr>
                <w:rFonts w:ascii="仿宋_GB2312" w:hAnsi="Times New Roman" w:eastAsia="仿宋_GB2312"/>
                <w:kern w:val="2"/>
                <w:sz w:val="24"/>
                <w:szCs w:val="24"/>
                <w:lang w:val="en-US" w:eastAsia="zh-CN"/>
              </w:rPr>
            </w:pPr>
          </w:p>
        </w:tc>
        <w:tc>
          <w:tcPr>
            <w:tcW w:w="1985" w:type="dxa"/>
          </w:tcPr>
          <w:p w14:paraId="68ECA575">
            <w:pPr>
              <w:pStyle w:val="25"/>
              <w:spacing w:line="360" w:lineRule="auto"/>
              <w:ind w:left="540" w:leftChars="257" w:firstLine="480"/>
              <w:rPr>
                <w:rFonts w:ascii="仿宋_GB2312" w:hAnsi="Times New Roman" w:eastAsia="仿宋_GB2312"/>
                <w:kern w:val="2"/>
                <w:sz w:val="24"/>
                <w:szCs w:val="24"/>
                <w:lang w:val="en-US" w:eastAsia="zh-CN"/>
              </w:rPr>
            </w:pPr>
          </w:p>
        </w:tc>
        <w:tc>
          <w:tcPr>
            <w:tcW w:w="1511" w:type="dxa"/>
          </w:tcPr>
          <w:p w14:paraId="2757091B">
            <w:pPr>
              <w:pStyle w:val="25"/>
              <w:spacing w:line="360" w:lineRule="auto"/>
              <w:ind w:left="540" w:leftChars="257" w:firstLine="480"/>
              <w:rPr>
                <w:rFonts w:ascii="仿宋_GB2312" w:hAnsi="Times New Roman" w:eastAsia="仿宋_GB2312"/>
                <w:kern w:val="2"/>
                <w:sz w:val="24"/>
                <w:szCs w:val="24"/>
                <w:lang w:val="en-US" w:eastAsia="zh-CN"/>
              </w:rPr>
            </w:pPr>
          </w:p>
        </w:tc>
        <w:tc>
          <w:tcPr>
            <w:tcW w:w="1050" w:type="dxa"/>
          </w:tcPr>
          <w:p w14:paraId="2DDED5AF">
            <w:pPr>
              <w:pStyle w:val="25"/>
              <w:spacing w:line="360" w:lineRule="auto"/>
              <w:ind w:left="540" w:leftChars="257" w:firstLine="480"/>
              <w:rPr>
                <w:rFonts w:ascii="仿宋_GB2312" w:hAnsi="Times New Roman" w:eastAsia="仿宋_GB2312"/>
                <w:kern w:val="2"/>
                <w:sz w:val="24"/>
                <w:szCs w:val="24"/>
                <w:lang w:val="en-US" w:eastAsia="zh-CN"/>
              </w:rPr>
            </w:pPr>
          </w:p>
        </w:tc>
        <w:tc>
          <w:tcPr>
            <w:tcW w:w="1068" w:type="dxa"/>
          </w:tcPr>
          <w:p w14:paraId="18FF42D3">
            <w:pPr>
              <w:pStyle w:val="25"/>
              <w:spacing w:line="360" w:lineRule="auto"/>
              <w:ind w:left="540" w:leftChars="257" w:firstLine="480"/>
              <w:rPr>
                <w:rFonts w:ascii="仿宋_GB2312" w:hAnsi="Times New Roman" w:eastAsia="仿宋_GB2312"/>
                <w:kern w:val="2"/>
                <w:sz w:val="24"/>
                <w:szCs w:val="24"/>
                <w:lang w:val="en-US" w:eastAsia="zh-CN"/>
              </w:rPr>
            </w:pPr>
          </w:p>
        </w:tc>
      </w:tr>
      <w:tr w14:paraId="4B89D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7F915064">
            <w:pPr>
              <w:pStyle w:val="25"/>
              <w:spacing w:line="360" w:lineRule="auto"/>
              <w:ind w:left="540" w:leftChars="257" w:firstLine="480"/>
              <w:rPr>
                <w:rFonts w:ascii="仿宋_GB2312" w:hAnsi="Times New Roman" w:eastAsia="仿宋_GB2312"/>
                <w:kern w:val="2"/>
                <w:sz w:val="24"/>
                <w:szCs w:val="24"/>
                <w:lang w:val="en-US" w:eastAsia="zh-CN"/>
              </w:rPr>
            </w:pPr>
          </w:p>
        </w:tc>
        <w:tc>
          <w:tcPr>
            <w:tcW w:w="2264" w:type="dxa"/>
          </w:tcPr>
          <w:p w14:paraId="24539D21">
            <w:pPr>
              <w:pStyle w:val="25"/>
              <w:spacing w:line="360" w:lineRule="auto"/>
              <w:ind w:left="540" w:leftChars="257" w:firstLine="480"/>
              <w:rPr>
                <w:rFonts w:ascii="仿宋_GB2312" w:hAnsi="Times New Roman" w:eastAsia="仿宋_GB2312"/>
                <w:kern w:val="2"/>
                <w:sz w:val="24"/>
                <w:szCs w:val="24"/>
                <w:lang w:val="en-US" w:eastAsia="zh-CN"/>
              </w:rPr>
            </w:pPr>
          </w:p>
        </w:tc>
        <w:tc>
          <w:tcPr>
            <w:tcW w:w="1985" w:type="dxa"/>
          </w:tcPr>
          <w:p w14:paraId="7F9D814C">
            <w:pPr>
              <w:pStyle w:val="25"/>
              <w:spacing w:line="360" w:lineRule="auto"/>
              <w:ind w:left="540" w:leftChars="257" w:firstLine="480"/>
              <w:rPr>
                <w:rFonts w:ascii="仿宋_GB2312" w:hAnsi="Times New Roman" w:eastAsia="仿宋_GB2312"/>
                <w:kern w:val="2"/>
                <w:sz w:val="24"/>
                <w:szCs w:val="24"/>
                <w:lang w:val="en-US" w:eastAsia="zh-CN"/>
              </w:rPr>
            </w:pPr>
          </w:p>
        </w:tc>
        <w:tc>
          <w:tcPr>
            <w:tcW w:w="1511" w:type="dxa"/>
          </w:tcPr>
          <w:p w14:paraId="49AD455A">
            <w:pPr>
              <w:pStyle w:val="25"/>
              <w:spacing w:line="360" w:lineRule="auto"/>
              <w:ind w:left="540" w:leftChars="257" w:firstLine="480"/>
              <w:rPr>
                <w:rFonts w:ascii="仿宋_GB2312" w:hAnsi="Times New Roman" w:eastAsia="仿宋_GB2312"/>
                <w:kern w:val="2"/>
                <w:sz w:val="24"/>
                <w:szCs w:val="24"/>
                <w:lang w:val="en-US" w:eastAsia="zh-CN"/>
              </w:rPr>
            </w:pPr>
          </w:p>
        </w:tc>
        <w:tc>
          <w:tcPr>
            <w:tcW w:w="1050" w:type="dxa"/>
          </w:tcPr>
          <w:p w14:paraId="3776118A">
            <w:pPr>
              <w:pStyle w:val="25"/>
              <w:spacing w:line="360" w:lineRule="auto"/>
              <w:ind w:left="540" w:leftChars="257" w:firstLine="480"/>
              <w:rPr>
                <w:rFonts w:ascii="仿宋_GB2312" w:hAnsi="Times New Roman" w:eastAsia="仿宋_GB2312"/>
                <w:kern w:val="2"/>
                <w:sz w:val="24"/>
                <w:szCs w:val="24"/>
                <w:lang w:val="en-US" w:eastAsia="zh-CN"/>
              </w:rPr>
            </w:pPr>
          </w:p>
        </w:tc>
        <w:tc>
          <w:tcPr>
            <w:tcW w:w="1068" w:type="dxa"/>
          </w:tcPr>
          <w:p w14:paraId="057A6C45">
            <w:pPr>
              <w:pStyle w:val="25"/>
              <w:spacing w:line="360" w:lineRule="auto"/>
              <w:ind w:left="540" w:leftChars="257" w:firstLine="480"/>
              <w:rPr>
                <w:rFonts w:ascii="仿宋_GB2312" w:hAnsi="Times New Roman" w:eastAsia="仿宋_GB2312"/>
                <w:kern w:val="2"/>
                <w:sz w:val="24"/>
                <w:szCs w:val="24"/>
                <w:lang w:val="en-US" w:eastAsia="zh-CN"/>
              </w:rPr>
            </w:pPr>
          </w:p>
        </w:tc>
      </w:tr>
      <w:tr w14:paraId="3B46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373A0046">
            <w:pPr>
              <w:pStyle w:val="25"/>
              <w:spacing w:line="360" w:lineRule="auto"/>
              <w:ind w:left="540" w:leftChars="257" w:firstLine="480"/>
              <w:rPr>
                <w:rFonts w:ascii="仿宋_GB2312" w:hAnsi="Times New Roman" w:eastAsia="仿宋_GB2312"/>
                <w:kern w:val="2"/>
                <w:sz w:val="24"/>
                <w:szCs w:val="24"/>
                <w:lang w:val="en-US" w:eastAsia="zh-CN"/>
              </w:rPr>
            </w:pPr>
          </w:p>
        </w:tc>
        <w:tc>
          <w:tcPr>
            <w:tcW w:w="2264" w:type="dxa"/>
          </w:tcPr>
          <w:p w14:paraId="0475F007">
            <w:pPr>
              <w:pStyle w:val="25"/>
              <w:spacing w:line="360" w:lineRule="auto"/>
              <w:ind w:left="540" w:leftChars="257" w:firstLine="480"/>
              <w:rPr>
                <w:rFonts w:ascii="仿宋_GB2312" w:hAnsi="Times New Roman" w:eastAsia="仿宋_GB2312"/>
                <w:kern w:val="2"/>
                <w:sz w:val="24"/>
                <w:szCs w:val="24"/>
                <w:lang w:val="en-US" w:eastAsia="zh-CN"/>
              </w:rPr>
            </w:pPr>
          </w:p>
        </w:tc>
        <w:tc>
          <w:tcPr>
            <w:tcW w:w="1985" w:type="dxa"/>
          </w:tcPr>
          <w:p w14:paraId="61629484">
            <w:pPr>
              <w:pStyle w:val="25"/>
              <w:spacing w:line="360" w:lineRule="auto"/>
              <w:ind w:left="540" w:leftChars="257" w:firstLine="480"/>
              <w:rPr>
                <w:rFonts w:ascii="仿宋_GB2312" w:hAnsi="Times New Roman" w:eastAsia="仿宋_GB2312"/>
                <w:kern w:val="2"/>
                <w:sz w:val="24"/>
                <w:szCs w:val="24"/>
                <w:lang w:val="en-US" w:eastAsia="zh-CN"/>
              </w:rPr>
            </w:pPr>
          </w:p>
        </w:tc>
        <w:tc>
          <w:tcPr>
            <w:tcW w:w="1511" w:type="dxa"/>
          </w:tcPr>
          <w:p w14:paraId="1F0DB365">
            <w:pPr>
              <w:pStyle w:val="25"/>
              <w:spacing w:line="360" w:lineRule="auto"/>
              <w:ind w:left="540" w:leftChars="257" w:firstLine="480"/>
              <w:rPr>
                <w:rFonts w:ascii="仿宋_GB2312" w:hAnsi="Times New Roman" w:eastAsia="仿宋_GB2312"/>
                <w:kern w:val="2"/>
                <w:sz w:val="24"/>
                <w:szCs w:val="24"/>
                <w:lang w:val="en-US" w:eastAsia="zh-CN"/>
              </w:rPr>
            </w:pPr>
          </w:p>
        </w:tc>
        <w:tc>
          <w:tcPr>
            <w:tcW w:w="1050" w:type="dxa"/>
          </w:tcPr>
          <w:p w14:paraId="351251FD">
            <w:pPr>
              <w:pStyle w:val="25"/>
              <w:spacing w:line="360" w:lineRule="auto"/>
              <w:ind w:left="540" w:leftChars="257" w:firstLine="480"/>
              <w:rPr>
                <w:rFonts w:ascii="仿宋_GB2312" w:hAnsi="Times New Roman" w:eastAsia="仿宋_GB2312"/>
                <w:kern w:val="2"/>
                <w:sz w:val="24"/>
                <w:szCs w:val="24"/>
                <w:lang w:val="en-US" w:eastAsia="zh-CN"/>
              </w:rPr>
            </w:pPr>
          </w:p>
        </w:tc>
        <w:tc>
          <w:tcPr>
            <w:tcW w:w="1068" w:type="dxa"/>
          </w:tcPr>
          <w:p w14:paraId="7A9CC05C">
            <w:pPr>
              <w:pStyle w:val="25"/>
              <w:spacing w:line="360" w:lineRule="auto"/>
              <w:ind w:left="540" w:leftChars="257" w:firstLine="480"/>
              <w:rPr>
                <w:rFonts w:ascii="仿宋_GB2312" w:hAnsi="Times New Roman" w:eastAsia="仿宋_GB2312"/>
                <w:kern w:val="2"/>
                <w:sz w:val="24"/>
                <w:szCs w:val="24"/>
                <w:lang w:val="en-US" w:eastAsia="zh-CN"/>
              </w:rPr>
            </w:pPr>
          </w:p>
        </w:tc>
      </w:tr>
      <w:tr w14:paraId="3B7C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4957DE32">
            <w:pPr>
              <w:pStyle w:val="25"/>
              <w:spacing w:line="360" w:lineRule="auto"/>
              <w:ind w:left="540" w:leftChars="257" w:firstLine="480"/>
              <w:rPr>
                <w:rFonts w:ascii="仿宋_GB2312" w:hAnsi="Times New Roman" w:eastAsia="仿宋_GB2312"/>
                <w:kern w:val="2"/>
                <w:sz w:val="24"/>
                <w:szCs w:val="24"/>
                <w:lang w:val="en-US" w:eastAsia="zh-CN"/>
              </w:rPr>
            </w:pPr>
          </w:p>
        </w:tc>
        <w:tc>
          <w:tcPr>
            <w:tcW w:w="2264" w:type="dxa"/>
          </w:tcPr>
          <w:p w14:paraId="7CBDD5F6">
            <w:pPr>
              <w:pStyle w:val="25"/>
              <w:spacing w:line="360" w:lineRule="auto"/>
              <w:ind w:left="540" w:leftChars="257" w:firstLine="480"/>
              <w:rPr>
                <w:rFonts w:ascii="仿宋_GB2312" w:hAnsi="Times New Roman" w:eastAsia="仿宋_GB2312"/>
                <w:kern w:val="2"/>
                <w:sz w:val="24"/>
                <w:szCs w:val="24"/>
                <w:lang w:val="en-US" w:eastAsia="zh-CN"/>
              </w:rPr>
            </w:pPr>
          </w:p>
        </w:tc>
        <w:tc>
          <w:tcPr>
            <w:tcW w:w="1985" w:type="dxa"/>
          </w:tcPr>
          <w:p w14:paraId="3056276E">
            <w:pPr>
              <w:pStyle w:val="25"/>
              <w:spacing w:line="360" w:lineRule="auto"/>
              <w:ind w:left="540" w:leftChars="257" w:firstLine="480"/>
              <w:rPr>
                <w:rFonts w:ascii="仿宋_GB2312" w:hAnsi="Times New Roman" w:eastAsia="仿宋_GB2312"/>
                <w:kern w:val="2"/>
                <w:sz w:val="24"/>
                <w:szCs w:val="24"/>
                <w:lang w:val="en-US" w:eastAsia="zh-CN"/>
              </w:rPr>
            </w:pPr>
          </w:p>
        </w:tc>
        <w:tc>
          <w:tcPr>
            <w:tcW w:w="1511" w:type="dxa"/>
          </w:tcPr>
          <w:p w14:paraId="69053DEA">
            <w:pPr>
              <w:pStyle w:val="25"/>
              <w:spacing w:line="360" w:lineRule="auto"/>
              <w:ind w:left="540" w:leftChars="257" w:firstLine="480"/>
              <w:rPr>
                <w:rFonts w:ascii="仿宋_GB2312" w:hAnsi="Times New Roman" w:eastAsia="仿宋_GB2312"/>
                <w:kern w:val="2"/>
                <w:sz w:val="24"/>
                <w:szCs w:val="24"/>
                <w:lang w:val="en-US" w:eastAsia="zh-CN"/>
              </w:rPr>
            </w:pPr>
          </w:p>
        </w:tc>
        <w:tc>
          <w:tcPr>
            <w:tcW w:w="1050" w:type="dxa"/>
          </w:tcPr>
          <w:p w14:paraId="3A7B7B6F">
            <w:pPr>
              <w:pStyle w:val="25"/>
              <w:spacing w:line="360" w:lineRule="auto"/>
              <w:ind w:left="540" w:leftChars="257" w:firstLine="480"/>
              <w:rPr>
                <w:rFonts w:ascii="仿宋_GB2312" w:hAnsi="Times New Roman" w:eastAsia="仿宋_GB2312"/>
                <w:kern w:val="2"/>
                <w:sz w:val="24"/>
                <w:szCs w:val="24"/>
                <w:lang w:val="en-US" w:eastAsia="zh-CN"/>
              </w:rPr>
            </w:pPr>
          </w:p>
        </w:tc>
        <w:tc>
          <w:tcPr>
            <w:tcW w:w="1068" w:type="dxa"/>
          </w:tcPr>
          <w:p w14:paraId="1769ED5B">
            <w:pPr>
              <w:pStyle w:val="25"/>
              <w:spacing w:line="360" w:lineRule="auto"/>
              <w:ind w:left="540" w:leftChars="257" w:firstLine="480"/>
              <w:rPr>
                <w:rFonts w:ascii="仿宋_GB2312" w:hAnsi="Times New Roman" w:eastAsia="仿宋_GB2312"/>
                <w:kern w:val="2"/>
                <w:sz w:val="24"/>
                <w:szCs w:val="24"/>
                <w:lang w:val="en-US" w:eastAsia="zh-CN"/>
              </w:rPr>
            </w:pPr>
          </w:p>
        </w:tc>
      </w:tr>
      <w:tr w14:paraId="7470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6B132C73">
            <w:pPr>
              <w:pStyle w:val="25"/>
              <w:spacing w:line="360" w:lineRule="auto"/>
              <w:ind w:left="540" w:leftChars="257" w:firstLine="480"/>
              <w:rPr>
                <w:rFonts w:ascii="仿宋_GB2312" w:hAnsi="Times New Roman" w:eastAsia="仿宋_GB2312"/>
                <w:kern w:val="2"/>
                <w:sz w:val="24"/>
                <w:szCs w:val="24"/>
                <w:lang w:val="en-US" w:eastAsia="zh-CN"/>
              </w:rPr>
            </w:pPr>
          </w:p>
        </w:tc>
        <w:tc>
          <w:tcPr>
            <w:tcW w:w="2264" w:type="dxa"/>
          </w:tcPr>
          <w:p w14:paraId="37BE9E65">
            <w:pPr>
              <w:pStyle w:val="25"/>
              <w:spacing w:line="360" w:lineRule="auto"/>
              <w:ind w:left="540" w:leftChars="257" w:firstLine="480"/>
              <w:rPr>
                <w:rFonts w:ascii="仿宋_GB2312" w:hAnsi="Times New Roman" w:eastAsia="仿宋_GB2312"/>
                <w:kern w:val="2"/>
                <w:sz w:val="24"/>
                <w:szCs w:val="24"/>
                <w:lang w:val="en-US" w:eastAsia="zh-CN"/>
              </w:rPr>
            </w:pPr>
          </w:p>
        </w:tc>
        <w:tc>
          <w:tcPr>
            <w:tcW w:w="1985" w:type="dxa"/>
          </w:tcPr>
          <w:p w14:paraId="4E64D30A">
            <w:pPr>
              <w:pStyle w:val="25"/>
              <w:spacing w:line="360" w:lineRule="auto"/>
              <w:ind w:left="540" w:leftChars="257" w:firstLine="480"/>
              <w:rPr>
                <w:rFonts w:ascii="仿宋_GB2312" w:hAnsi="Times New Roman" w:eastAsia="仿宋_GB2312"/>
                <w:kern w:val="2"/>
                <w:sz w:val="24"/>
                <w:szCs w:val="24"/>
                <w:lang w:val="en-US" w:eastAsia="zh-CN"/>
              </w:rPr>
            </w:pPr>
          </w:p>
        </w:tc>
        <w:tc>
          <w:tcPr>
            <w:tcW w:w="1511" w:type="dxa"/>
          </w:tcPr>
          <w:p w14:paraId="56C88C70">
            <w:pPr>
              <w:pStyle w:val="25"/>
              <w:spacing w:line="360" w:lineRule="auto"/>
              <w:ind w:left="540" w:leftChars="257" w:firstLine="480"/>
              <w:rPr>
                <w:rFonts w:ascii="仿宋_GB2312" w:hAnsi="Times New Roman" w:eastAsia="仿宋_GB2312"/>
                <w:kern w:val="2"/>
                <w:sz w:val="24"/>
                <w:szCs w:val="24"/>
                <w:lang w:val="en-US" w:eastAsia="zh-CN"/>
              </w:rPr>
            </w:pPr>
          </w:p>
        </w:tc>
        <w:tc>
          <w:tcPr>
            <w:tcW w:w="1050" w:type="dxa"/>
          </w:tcPr>
          <w:p w14:paraId="4DE33A2D">
            <w:pPr>
              <w:pStyle w:val="25"/>
              <w:spacing w:line="360" w:lineRule="auto"/>
              <w:ind w:left="540" w:leftChars="257" w:firstLine="480"/>
              <w:rPr>
                <w:rFonts w:ascii="仿宋_GB2312" w:hAnsi="Times New Roman" w:eastAsia="仿宋_GB2312"/>
                <w:kern w:val="2"/>
                <w:sz w:val="24"/>
                <w:szCs w:val="24"/>
                <w:lang w:val="en-US" w:eastAsia="zh-CN"/>
              </w:rPr>
            </w:pPr>
          </w:p>
        </w:tc>
        <w:tc>
          <w:tcPr>
            <w:tcW w:w="1068" w:type="dxa"/>
          </w:tcPr>
          <w:p w14:paraId="3B7B7BEC">
            <w:pPr>
              <w:pStyle w:val="25"/>
              <w:spacing w:line="360" w:lineRule="auto"/>
              <w:ind w:left="540" w:leftChars="257" w:firstLine="480"/>
              <w:rPr>
                <w:rFonts w:ascii="仿宋_GB2312" w:hAnsi="Times New Roman" w:eastAsia="仿宋_GB2312"/>
                <w:kern w:val="2"/>
                <w:sz w:val="24"/>
                <w:szCs w:val="24"/>
                <w:lang w:val="en-US" w:eastAsia="zh-CN"/>
              </w:rPr>
            </w:pPr>
          </w:p>
        </w:tc>
      </w:tr>
      <w:tr w14:paraId="4C12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07CA5BCB">
            <w:pPr>
              <w:pStyle w:val="25"/>
              <w:spacing w:line="360" w:lineRule="auto"/>
              <w:ind w:left="540" w:leftChars="257" w:firstLine="480"/>
              <w:rPr>
                <w:rFonts w:ascii="仿宋_GB2312" w:hAnsi="Times New Roman" w:eastAsia="仿宋_GB2312"/>
                <w:kern w:val="2"/>
                <w:sz w:val="24"/>
                <w:szCs w:val="24"/>
                <w:lang w:val="en-US" w:eastAsia="zh-CN"/>
              </w:rPr>
            </w:pPr>
          </w:p>
        </w:tc>
        <w:tc>
          <w:tcPr>
            <w:tcW w:w="2264" w:type="dxa"/>
          </w:tcPr>
          <w:p w14:paraId="4B8E8580">
            <w:pPr>
              <w:pStyle w:val="25"/>
              <w:spacing w:line="360" w:lineRule="auto"/>
              <w:ind w:left="540" w:leftChars="257" w:firstLine="480"/>
              <w:rPr>
                <w:rFonts w:ascii="仿宋_GB2312" w:hAnsi="Times New Roman" w:eastAsia="仿宋_GB2312"/>
                <w:kern w:val="2"/>
                <w:sz w:val="24"/>
                <w:szCs w:val="24"/>
                <w:lang w:val="en-US" w:eastAsia="zh-CN"/>
              </w:rPr>
            </w:pPr>
          </w:p>
        </w:tc>
        <w:tc>
          <w:tcPr>
            <w:tcW w:w="1985" w:type="dxa"/>
          </w:tcPr>
          <w:p w14:paraId="60DBFD58">
            <w:pPr>
              <w:pStyle w:val="25"/>
              <w:spacing w:line="360" w:lineRule="auto"/>
              <w:ind w:left="540" w:leftChars="257" w:firstLine="480"/>
              <w:rPr>
                <w:rFonts w:ascii="仿宋_GB2312" w:hAnsi="Times New Roman" w:eastAsia="仿宋_GB2312"/>
                <w:kern w:val="2"/>
                <w:sz w:val="24"/>
                <w:szCs w:val="24"/>
                <w:lang w:val="en-US" w:eastAsia="zh-CN"/>
              </w:rPr>
            </w:pPr>
          </w:p>
        </w:tc>
        <w:tc>
          <w:tcPr>
            <w:tcW w:w="1511" w:type="dxa"/>
          </w:tcPr>
          <w:p w14:paraId="2F521446">
            <w:pPr>
              <w:pStyle w:val="25"/>
              <w:spacing w:line="360" w:lineRule="auto"/>
              <w:ind w:left="540" w:leftChars="257" w:firstLine="480"/>
              <w:rPr>
                <w:rFonts w:ascii="仿宋_GB2312" w:hAnsi="Times New Roman" w:eastAsia="仿宋_GB2312"/>
                <w:kern w:val="2"/>
                <w:sz w:val="24"/>
                <w:szCs w:val="24"/>
                <w:lang w:val="en-US" w:eastAsia="zh-CN"/>
              </w:rPr>
            </w:pPr>
          </w:p>
        </w:tc>
        <w:tc>
          <w:tcPr>
            <w:tcW w:w="1050" w:type="dxa"/>
          </w:tcPr>
          <w:p w14:paraId="466ED151">
            <w:pPr>
              <w:pStyle w:val="25"/>
              <w:spacing w:line="360" w:lineRule="auto"/>
              <w:ind w:left="540" w:leftChars="257" w:firstLine="480"/>
              <w:rPr>
                <w:rFonts w:ascii="仿宋_GB2312" w:hAnsi="Times New Roman" w:eastAsia="仿宋_GB2312"/>
                <w:kern w:val="2"/>
                <w:sz w:val="24"/>
                <w:szCs w:val="24"/>
                <w:lang w:val="en-US" w:eastAsia="zh-CN"/>
              </w:rPr>
            </w:pPr>
          </w:p>
        </w:tc>
        <w:tc>
          <w:tcPr>
            <w:tcW w:w="1068" w:type="dxa"/>
          </w:tcPr>
          <w:p w14:paraId="73946C8F">
            <w:pPr>
              <w:pStyle w:val="25"/>
              <w:spacing w:line="360" w:lineRule="auto"/>
              <w:ind w:left="540" w:leftChars="257" w:firstLine="480"/>
              <w:rPr>
                <w:rFonts w:ascii="仿宋_GB2312" w:hAnsi="Times New Roman" w:eastAsia="仿宋_GB2312"/>
                <w:kern w:val="2"/>
                <w:sz w:val="24"/>
                <w:szCs w:val="24"/>
                <w:lang w:val="en-US" w:eastAsia="zh-CN"/>
              </w:rPr>
            </w:pPr>
          </w:p>
        </w:tc>
      </w:tr>
      <w:tr w14:paraId="2589D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2F01513A">
            <w:pPr>
              <w:pStyle w:val="25"/>
              <w:spacing w:line="360" w:lineRule="auto"/>
              <w:ind w:left="540" w:leftChars="257" w:firstLine="480"/>
              <w:rPr>
                <w:rFonts w:ascii="仿宋_GB2312" w:hAnsi="Times New Roman" w:eastAsia="仿宋_GB2312"/>
                <w:kern w:val="2"/>
                <w:sz w:val="24"/>
                <w:szCs w:val="24"/>
                <w:lang w:val="en-US" w:eastAsia="zh-CN"/>
              </w:rPr>
            </w:pPr>
          </w:p>
        </w:tc>
        <w:tc>
          <w:tcPr>
            <w:tcW w:w="2264" w:type="dxa"/>
          </w:tcPr>
          <w:p w14:paraId="3F69667C">
            <w:pPr>
              <w:pStyle w:val="25"/>
              <w:spacing w:line="360" w:lineRule="auto"/>
              <w:ind w:left="540" w:leftChars="257" w:firstLine="480"/>
              <w:rPr>
                <w:rFonts w:ascii="仿宋_GB2312" w:hAnsi="Times New Roman" w:eastAsia="仿宋_GB2312"/>
                <w:kern w:val="2"/>
                <w:sz w:val="24"/>
                <w:szCs w:val="24"/>
                <w:lang w:val="en-US" w:eastAsia="zh-CN"/>
              </w:rPr>
            </w:pPr>
          </w:p>
        </w:tc>
        <w:tc>
          <w:tcPr>
            <w:tcW w:w="1985" w:type="dxa"/>
          </w:tcPr>
          <w:p w14:paraId="3A17CE51">
            <w:pPr>
              <w:pStyle w:val="25"/>
              <w:spacing w:line="360" w:lineRule="auto"/>
              <w:ind w:left="540" w:leftChars="257" w:firstLine="480"/>
              <w:rPr>
                <w:rFonts w:ascii="仿宋_GB2312" w:hAnsi="Times New Roman" w:eastAsia="仿宋_GB2312"/>
                <w:kern w:val="2"/>
                <w:sz w:val="24"/>
                <w:szCs w:val="24"/>
                <w:lang w:val="en-US" w:eastAsia="zh-CN"/>
              </w:rPr>
            </w:pPr>
          </w:p>
        </w:tc>
        <w:tc>
          <w:tcPr>
            <w:tcW w:w="1511" w:type="dxa"/>
          </w:tcPr>
          <w:p w14:paraId="3079062A">
            <w:pPr>
              <w:pStyle w:val="25"/>
              <w:spacing w:line="360" w:lineRule="auto"/>
              <w:ind w:left="540" w:leftChars="257" w:firstLine="480"/>
              <w:rPr>
                <w:rFonts w:ascii="仿宋_GB2312" w:hAnsi="Times New Roman" w:eastAsia="仿宋_GB2312"/>
                <w:kern w:val="2"/>
                <w:sz w:val="24"/>
                <w:szCs w:val="24"/>
                <w:lang w:val="en-US" w:eastAsia="zh-CN"/>
              </w:rPr>
            </w:pPr>
          </w:p>
        </w:tc>
        <w:tc>
          <w:tcPr>
            <w:tcW w:w="1050" w:type="dxa"/>
          </w:tcPr>
          <w:p w14:paraId="0C844BE7">
            <w:pPr>
              <w:pStyle w:val="25"/>
              <w:spacing w:line="360" w:lineRule="auto"/>
              <w:ind w:left="540" w:leftChars="257" w:firstLine="480"/>
              <w:rPr>
                <w:rFonts w:ascii="仿宋_GB2312" w:hAnsi="Times New Roman" w:eastAsia="仿宋_GB2312"/>
                <w:kern w:val="2"/>
                <w:sz w:val="24"/>
                <w:szCs w:val="24"/>
                <w:lang w:val="en-US" w:eastAsia="zh-CN"/>
              </w:rPr>
            </w:pPr>
          </w:p>
        </w:tc>
        <w:tc>
          <w:tcPr>
            <w:tcW w:w="1068" w:type="dxa"/>
          </w:tcPr>
          <w:p w14:paraId="127898F3">
            <w:pPr>
              <w:pStyle w:val="25"/>
              <w:spacing w:line="360" w:lineRule="auto"/>
              <w:ind w:left="540" w:leftChars="257" w:firstLine="480"/>
              <w:rPr>
                <w:rFonts w:ascii="仿宋_GB2312" w:hAnsi="Times New Roman" w:eastAsia="仿宋_GB2312"/>
                <w:kern w:val="2"/>
                <w:sz w:val="24"/>
                <w:szCs w:val="24"/>
                <w:lang w:val="en-US" w:eastAsia="zh-CN"/>
              </w:rPr>
            </w:pPr>
          </w:p>
        </w:tc>
      </w:tr>
      <w:tr w14:paraId="104F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tcPr>
          <w:p w14:paraId="120E3275">
            <w:pPr>
              <w:pStyle w:val="25"/>
              <w:spacing w:line="360" w:lineRule="auto"/>
              <w:ind w:left="540" w:leftChars="257" w:firstLine="480"/>
              <w:rPr>
                <w:rFonts w:ascii="仿宋_GB2312" w:hAnsi="Times New Roman" w:eastAsia="仿宋_GB2312"/>
                <w:kern w:val="2"/>
                <w:sz w:val="24"/>
                <w:szCs w:val="24"/>
                <w:lang w:val="en-US" w:eastAsia="zh-CN"/>
              </w:rPr>
            </w:pPr>
          </w:p>
        </w:tc>
        <w:tc>
          <w:tcPr>
            <w:tcW w:w="2264" w:type="dxa"/>
          </w:tcPr>
          <w:p w14:paraId="25DAE393">
            <w:pPr>
              <w:pStyle w:val="25"/>
              <w:spacing w:line="360" w:lineRule="auto"/>
              <w:ind w:left="540" w:leftChars="257" w:firstLine="480"/>
              <w:rPr>
                <w:rFonts w:ascii="仿宋_GB2312" w:hAnsi="Times New Roman" w:eastAsia="仿宋_GB2312"/>
                <w:kern w:val="2"/>
                <w:sz w:val="24"/>
                <w:szCs w:val="24"/>
                <w:lang w:val="en-US" w:eastAsia="zh-CN"/>
              </w:rPr>
            </w:pPr>
          </w:p>
        </w:tc>
        <w:tc>
          <w:tcPr>
            <w:tcW w:w="1985" w:type="dxa"/>
          </w:tcPr>
          <w:p w14:paraId="2BAD4E2A">
            <w:pPr>
              <w:pStyle w:val="25"/>
              <w:spacing w:line="360" w:lineRule="auto"/>
              <w:ind w:left="540" w:leftChars="257" w:firstLine="480"/>
              <w:rPr>
                <w:rFonts w:ascii="仿宋_GB2312" w:hAnsi="Times New Roman" w:eastAsia="仿宋_GB2312"/>
                <w:kern w:val="2"/>
                <w:sz w:val="24"/>
                <w:szCs w:val="24"/>
                <w:lang w:val="en-US" w:eastAsia="zh-CN"/>
              </w:rPr>
            </w:pPr>
          </w:p>
        </w:tc>
        <w:tc>
          <w:tcPr>
            <w:tcW w:w="1511" w:type="dxa"/>
          </w:tcPr>
          <w:p w14:paraId="0373CD74">
            <w:pPr>
              <w:pStyle w:val="25"/>
              <w:spacing w:line="360" w:lineRule="auto"/>
              <w:ind w:left="540" w:leftChars="257" w:firstLine="480"/>
              <w:rPr>
                <w:rFonts w:ascii="仿宋_GB2312" w:hAnsi="Times New Roman" w:eastAsia="仿宋_GB2312"/>
                <w:kern w:val="2"/>
                <w:sz w:val="24"/>
                <w:szCs w:val="24"/>
                <w:lang w:val="en-US" w:eastAsia="zh-CN"/>
              </w:rPr>
            </w:pPr>
          </w:p>
        </w:tc>
        <w:tc>
          <w:tcPr>
            <w:tcW w:w="1050" w:type="dxa"/>
          </w:tcPr>
          <w:p w14:paraId="2480FFC0">
            <w:pPr>
              <w:pStyle w:val="25"/>
              <w:spacing w:line="360" w:lineRule="auto"/>
              <w:ind w:left="540" w:leftChars="257" w:firstLine="480"/>
              <w:rPr>
                <w:rFonts w:ascii="仿宋_GB2312" w:hAnsi="Times New Roman" w:eastAsia="仿宋_GB2312"/>
                <w:kern w:val="2"/>
                <w:sz w:val="24"/>
                <w:szCs w:val="24"/>
                <w:lang w:val="en-US" w:eastAsia="zh-CN"/>
              </w:rPr>
            </w:pPr>
          </w:p>
        </w:tc>
        <w:tc>
          <w:tcPr>
            <w:tcW w:w="1068" w:type="dxa"/>
          </w:tcPr>
          <w:p w14:paraId="5162130B">
            <w:pPr>
              <w:pStyle w:val="25"/>
              <w:spacing w:line="360" w:lineRule="auto"/>
              <w:ind w:left="540" w:leftChars="257" w:firstLine="480"/>
              <w:rPr>
                <w:rFonts w:ascii="仿宋_GB2312" w:hAnsi="Times New Roman" w:eastAsia="仿宋_GB2312"/>
                <w:kern w:val="2"/>
                <w:sz w:val="24"/>
                <w:szCs w:val="24"/>
                <w:lang w:val="en-US" w:eastAsia="zh-CN"/>
              </w:rPr>
            </w:pPr>
          </w:p>
        </w:tc>
      </w:tr>
      <w:tr w14:paraId="03309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61AD25D0">
            <w:pPr>
              <w:pStyle w:val="25"/>
              <w:spacing w:line="360" w:lineRule="auto"/>
              <w:ind w:left="540" w:leftChars="257" w:firstLine="480"/>
              <w:rPr>
                <w:rFonts w:ascii="仿宋_GB2312" w:hAnsi="Times New Roman" w:eastAsia="仿宋_GB2312"/>
                <w:kern w:val="2"/>
                <w:sz w:val="24"/>
                <w:szCs w:val="24"/>
                <w:lang w:val="en-US" w:eastAsia="zh-CN"/>
              </w:rPr>
            </w:pPr>
          </w:p>
        </w:tc>
        <w:tc>
          <w:tcPr>
            <w:tcW w:w="2264" w:type="dxa"/>
          </w:tcPr>
          <w:p w14:paraId="4987D070">
            <w:pPr>
              <w:pStyle w:val="25"/>
              <w:spacing w:line="360" w:lineRule="auto"/>
              <w:ind w:left="540" w:leftChars="257" w:firstLine="480"/>
              <w:rPr>
                <w:rFonts w:ascii="仿宋_GB2312" w:hAnsi="Times New Roman" w:eastAsia="仿宋_GB2312"/>
                <w:kern w:val="2"/>
                <w:sz w:val="24"/>
                <w:szCs w:val="24"/>
                <w:lang w:val="en-US" w:eastAsia="zh-CN"/>
              </w:rPr>
            </w:pPr>
          </w:p>
        </w:tc>
        <w:tc>
          <w:tcPr>
            <w:tcW w:w="1985" w:type="dxa"/>
          </w:tcPr>
          <w:p w14:paraId="0294BE1C">
            <w:pPr>
              <w:pStyle w:val="25"/>
              <w:spacing w:line="360" w:lineRule="auto"/>
              <w:ind w:left="540" w:leftChars="257" w:firstLine="480"/>
              <w:rPr>
                <w:rFonts w:ascii="仿宋_GB2312" w:hAnsi="Times New Roman" w:eastAsia="仿宋_GB2312"/>
                <w:kern w:val="2"/>
                <w:sz w:val="24"/>
                <w:szCs w:val="24"/>
                <w:lang w:val="en-US" w:eastAsia="zh-CN"/>
              </w:rPr>
            </w:pPr>
          </w:p>
        </w:tc>
        <w:tc>
          <w:tcPr>
            <w:tcW w:w="1511" w:type="dxa"/>
          </w:tcPr>
          <w:p w14:paraId="666BE5F0">
            <w:pPr>
              <w:pStyle w:val="25"/>
              <w:spacing w:line="360" w:lineRule="auto"/>
              <w:ind w:left="540" w:leftChars="257" w:firstLine="480"/>
              <w:rPr>
                <w:rFonts w:ascii="仿宋_GB2312" w:hAnsi="Times New Roman" w:eastAsia="仿宋_GB2312"/>
                <w:kern w:val="2"/>
                <w:sz w:val="24"/>
                <w:szCs w:val="24"/>
                <w:lang w:val="en-US" w:eastAsia="zh-CN"/>
              </w:rPr>
            </w:pPr>
          </w:p>
        </w:tc>
        <w:tc>
          <w:tcPr>
            <w:tcW w:w="1050" w:type="dxa"/>
          </w:tcPr>
          <w:p w14:paraId="69722470">
            <w:pPr>
              <w:pStyle w:val="25"/>
              <w:spacing w:line="360" w:lineRule="auto"/>
              <w:ind w:left="540" w:leftChars="257" w:firstLine="480"/>
              <w:rPr>
                <w:rFonts w:ascii="仿宋_GB2312" w:hAnsi="Times New Roman" w:eastAsia="仿宋_GB2312"/>
                <w:kern w:val="2"/>
                <w:sz w:val="24"/>
                <w:szCs w:val="24"/>
                <w:lang w:val="en-US" w:eastAsia="zh-CN"/>
              </w:rPr>
            </w:pPr>
          </w:p>
        </w:tc>
        <w:tc>
          <w:tcPr>
            <w:tcW w:w="1068" w:type="dxa"/>
          </w:tcPr>
          <w:p w14:paraId="53707B82">
            <w:pPr>
              <w:pStyle w:val="25"/>
              <w:spacing w:line="360" w:lineRule="auto"/>
              <w:ind w:left="540" w:leftChars="257" w:firstLine="480"/>
              <w:rPr>
                <w:rFonts w:ascii="仿宋_GB2312" w:hAnsi="Times New Roman" w:eastAsia="仿宋_GB2312"/>
                <w:kern w:val="2"/>
                <w:sz w:val="24"/>
                <w:szCs w:val="24"/>
                <w:lang w:val="en-US" w:eastAsia="zh-CN"/>
              </w:rPr>
            </w:pPr>
          </w:p>
        </w:tc>
      </w:tr>
      <w:tr w14:paraId="1C281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tcPr>
          <w:p w14:paraId="59826A0D">
            <w:pPr>
              <w:pStyle w:val="25"/>
              <w:spacing w:line="360" w:lineRule="auto"/>
              <w:ind w:left="540" w:leftChars="257" w:firstLine="480"/>
              <w:rPr>
                <w:rFonts w:ascii="仿宋_GB2312" w:hAnsi="Times New Roman" w:eastAsia="仿宋_GB2312"/>
                <w:kern w:val="2"/>
                <w:sz w:val="24"/>
                <w:szCs w:val="24"/>
                <w:lang w:val="en-US" w:eastAsia="zh-CN"/>
              </w:rPr>
            </w:pPr>
          </w:p>
        </w:tc>
        <w:tc>
          <w:tcPr>
            <w:tcW w:w="2264" w:type="dxa"/>
          </w:tcPr>
          <w:p w14:paraId="5E8AE45A">
            <w:pPr>
              <w:pStyle w:val="25"/>
              <w:spacing w:line="360" w:lineRule="auto"/>
              <w:ind w:left="540" w:leftChars="257" w:firstLine="480"/>
              <w:rPr>
                <w:rFonts w:ascii="仿宋_GB2312" w:hAnsi="Times New Roman" w:eastAsia="仿宋_GB2312"/>
                <w:kern w:val="2"/>
                <w:sz w:val="24"/>
                <w:szCs w:val="24"/>
                <w:lang w:val="en-US" w:eastAsia="zh-CN"/>
              </w:rPr>
            </w:pPr>
          </w:p>
        </w:tc>
        <w:tc>
          <w:tcPr>
            <w:tcW w:w="1985" w:type="dxa"/>
          </w:tcPr>
          <w:p w14:paraId="2DE63C3F">
            <w:pPr>
              <w:pStyle w:val="25"/>
              <w:spacing w:line="360" w:lineRule="auto"/>
              <w:ind w:left="540" w:leftChars="257" w:firstLine="480"/>
              <w:rPr>
                <w:rFonts w:ascii="仿宋_GB2312" w:hAnsi="Times New Roman" w:eastAsia="仿宋_GB2312"/>
                <w:kern w:val="2"/>
                <w:sz w:val="24"/>
                <w:szCs w:val="24"/>
                <w:lang w:val="en-US" w:eastAsia="zh-CN"/>
              </w:rPr>
            </w:pPr>
          </w:p>
        </w:tc>
        <w:tc>
          <w:tcPr>
            <w:tcW w:w="1511" w:type="dxa"/>
          </w:tcPr>
          <w:p w14:paraId="4013A1E1">
            <w:pPr>
              <w:pStyle w:val="25"/>
              <w:spacing w:line="360" w:lineRule="auto"/>
              <w:ind w:left="540" w:leftChars="257" w:firstLine="480"/>
              <w:rPr>
                <w:rFonts w:ascii="仿宋_GB2312" w:hAnsi="Times New Roman" w:eastAsia="仿宋_GB2312"/>
                <w:kern w:val="2"/>
                <w:sz w:val="24"/>
                <w:szCs w:val="24"/>
                <w:lang w:val="en-US" w:eastAsia="zh-CN"/>
              </w:rPr>
            </w:pPr>
          </w:p>
        </w:tc>
        <w:tc>
          <w:tcPr>
            <w:tcW w:w="1050" w:type="dxa"/>
          </w:tcPr>
          <w:p w14:paraId="209D1415">
            <w:pPr>
              <w:pStyle w:val="25"/>
              <w:spacing w:line="360" w:lineRule="auto"/>
              <w:ind w:left="540" w:leftChars="257" w:firstLine="480"/>
              <w:rPr>
                <w:rFonts w:ascii="仿宋_GB2312" w:hAnsi="Times New Roman" w:eastAsia="仿宋_GB2312"/>
                <w:kern w:val="2"/>
                <w:sz w:val="24"/>
                <w:szCs w:val="24"/>
                <w:lang w:val="en-US" w:eastAsia="zh-CN"/>
              </w:rPr>
            </w:pPr>
          </w:p>
        </w:tc>
        <w:tc>
          <w:tcPr>
            <w:tcW w:w="1068" w:type="dxa"/>
          </w:tcPr>
          <w:p w14:paraId="50C8D093">
            <w:pPr>
              <w:pStyle w:val="25"/>
              <w:spacing w:line="360" w:lineRule="auto"/>
              <w:ind w:left="540" w:leftChars="257" w:firstLine="480"/>
              <w:rPr>
                <w:rFonts w:ascii="仿宋_GB2312" w:hAnsi="Times New Roman" w:eastAsia="仿宋_GB2312"/>
                <w:kern w:val="2"/>
                <w:sz w:val="24"/>
                <w:szCs w:val="24"/>
                <w:lang w:val="en-US" w:eastAsia="zh-CN"/>
              </w:rPr>
            </w:pPr>
          </w:p>
        </w:tc>
      </w:tr>
    </w:tbl>
    <w:p w14:paraId="3D92FAD1">
      <w:pPr>
        <w:pStyle w:val="25"/>
        <w:spacing w:line="360" w:lineRule="auto"/>
        <w:ind w:left="540" w:leftChars="257" w:firstLine="480"/>
        <w:rPr>
          <w:rFonts w:ascii="Times New Roman" w:hAnsi="Times New Roman"/>
          <w:sz w:val="24"/>
          <w:szCs w:val="24"/>
        </w:rPr>
      </w:pPr>
    </w:p>
    <w:p w14:paraId="3EF8A472">
      <w:pPr>
        <w:pStyle w:val="17"/>
        <w:jc w:val="center"/>
        <w:rPr>
          <w:rFonts w:ascii="Times New Roman" w:hAnsi="Times New Roman" w:cs="Times New Roman"/>
          <w:color w:val="auto"/>
          <w:u w:val="single"/>
        </w:rPr>
      </w:pPr>
      <w:r>
        <w:rPr>
          <w:rFonts w:ascii="Times New Roman" w:hAnsi="Times New Roman" w:cs="Times New Roman"/>
          <w:color w:val="auto"/>
        </w:rPr>
        <w:t>投标人（企业电子签章）：</w:t>
      </w:r>
      <w:r>
        <w:rPr>
          <w:rFonts w:ascii="Times New Roman" w:hAnsi="Times New Roman" w:cs="Times New Roman"/>
          <w:color w:val="auto"/>
          <w:u w:val="single"/>
        </w:rPr>
        <w:t xml:space="preserve">                 </w:t>
      </w:r>
    </w:p>
    <w:p w14:paraId="1DA456E3">
      <w:pPr>
        <w:pStyle w:val="17"/>
        <w:jc w:val="center"/>
        <w:outlineLvl w:val="1"/>
        <w:rPr>
          <w:rFonts w:ascii="Times New Roman" w:hAnsi="Times New Roman" w:eastAsia="方正小标宋_GBK" w:cs="Times New Roman"/>
          <w:bCs/>
          <w:color w:val="auto"/>
          <w:sz w:val="30"/>
          <w:szCs w:val="30"/>
        </w:rPr>
      </w:pPr>
      <w:r>
        <w:rPr>
          <w:rFonts w:ascii="Times New Roman" w:hAnsi="Times New Roman" w:cs="Times New Roman"/>
          <w:color w:val="auto"/>
        </w:rPr>
        <w:br w:type="page"/>
      </w:r>
      <w:r>
        <w:rPr>
          <w:rFonts w:hint="eastAsia" w:ascii="Times New Roman" w:hAnsi="Times New Roman" w:eastAsia="方正小标宋_GBK" w:cs="Times New Roman"/>
          <w:bCs/>
          <w:color w:val="auto"/>
          <w:sz w:val="30"/>
          <w:szCs w:val="30"/>
        </w:rPr>
        <w:t>九</w:t>
      </w:r>
      <w:r>
        <w:rPr>
          <w:rFonts w:ascii="Times New Roman" w:hAnsi="Times New Roman" w:eastAsia="方正小标宋_GBK" w:cs="Times New Roman"/>
          <w:bCs/>
          <w:color w:val="auto"/>
          <w:sz w:val="30"/>
          <w:szCs w:val="30"/>
        </w:rPr>
        <w:t>、</w:t>
      </w:r>
      <w:bookmarkEnd w:id="435"/>
      <w:bookmarkEnd w:id="436"/>
      <w:bookmarkEnd w:id="437"/>
      <w:bookmarkEnd w:id="438"/>
      <w:bookmarkStart w:id="445" w:name="_Toc1279155327"/>
      <w:bookmarkStart w:id="446" w:name="_Toc89037649"/>
      <w:bookmarkStart w:id="447" w:name="_Toc960541360"/>
      <w:bookmarkStart w:id="448" w:name="_Toc447654087"/>
      <w:r>
        <w:rPr>
          <w:rFonts w:ascii="Times New Roman" w:hAnsi="Times New Roman" w:eastAsia="方正小标宋_GBK" w:cs="Times New Roman"/>
          <w:bCs/>
          <w:color w:val="auto"/>
          <w:sz w:val="30"/>
          <w:szCs w:val="30"/>
          <w:lang w:val="zh-TW"/>
        </w:rPr>
        <w:t>综合证明文件</w:t>
      </w:r>
      <w:bookmarkEnd w:id="439"/>
      <w:bookmarkEnd w:id="440"/>
      <w:bookmarkEnd w:id="441"/>
      <w:bookmarkEnd w:id="442"/>
      <w:bookmarkEnd w:id="443"/>
      <w:bookmarkEnd w:id="444"/>
      <w:bookmarkEnd w:id="445"/>
      <w:bookmarkEnd w:id="446"/>
      <w:bookmarkEnd w:id="447"/>
      <w:bookmarkEnd w:id="448"/>
    </w:p>
    <w:p w14:paraId="1369C7B0">
      <w:pPr>
        <w:pStyle w:val="4"/>
        <w:spacing w:line="360" w:lineRule="exact"/>
        <w:rPr>
          <w:rFonts w:ascii="仿宋_GB2312" w:hAnsi="Times New Roman" w:eastAsia="仿宋_GB2312"/>
          <w:bCs w:val="0"/>
          <w:color w:val="auto"/>
          <w:sz w:val="28"/>
          <w:szCs w:val="28"/>
          <w:lang w:eastAsia="zh-CN"/>
        </w:rPr>
      </w:pPr>
      <w:bookmarkStart w:id="449" w:name="_Toc765014490"/>
      <w:bookmarkStart w:id="450" w:name="_Toc751864404"/>
      <w:bookmarkStart w:id="451" w:name="_Toc1325819456_WPSOffice_Level3"/>
      <w:bookmarkStart w:id="452" w:name="_Toc71543326"/>
      <w:bookmarkStart w:id="453" w:name="_Toc1974888321"/>
      <w:bookmarkStart w:id="454" w:name="_Toc947281468"/>
      <w:r>
        <w:rPr>
          <w:rFonts w:hint="eastAsia" w:ascii="仿宋_GB2312" w:hAnsi="Times New Roman" w:eastAsia="仿宋_GB2312"/>
          <w:bCs w:val="0"/>
          <w:color w:val="auto"/>
          <w:sz w:val="28"/>
          <w:szCs w:val="28"/>
          <w:lang w:val="en-US" w:eastAsia="zh-CN"/>
        </w:rPr>
        <w:t>1</w:t>
      </w:r>
      <w:r>
        <w:rPr>
          <w:rFonts w:hint="eastAsia" w:ascii="仿宋_GB2312" w:hAnsi="Times New Roman" w:eastAsia="仿宋_GB2312"/>
          <w:color w:val="auto"/>
          <w:sz w:val="28"/>
          <w:szCs w:val="28"/>
          <w:lang w:val="en-US" w:eastAsia="zh-CN"/>
        </w:rPr>
        <w:t>.</w:t>
      </w:r>
      <w:r>
        <w:rPr>
          <w:rFonts w:hint="eastAsia" w:ascii="仿宋_GB2312" w:hAnsi="Times New Roman" w:eastAsia="仿宋_GB2312"/>
          <w:color w:val="auto"/>
          <w:sz w:val="28"/>
          <w:szCs w:val="28"/>
          <w:lang w:eastAsia="zh-CN"/>
        </w:rPr>
        <w:t>综合实力</w:t>
      </w:r>
      <w:bookmarkEnd w:id="449"/>
      <w:bookmarkEnd w:id="450"/>
      <w:bookmarkEnd w:id="451"/>
      <w:bookmarkEnd w:id="452"/>
      <w:bookmarkEnd w:id="453"/>
      <w:bookmarkEnd w:id="454"/>
    </w:p>
    <w:p w14:paraId="55634571">
      <w:pPr>
        <w:spacing w:line="360" w:lineRule="auto"/>
        <w:ind w:firstLine="482"/>
        <w:jc w:val="left"/>
        <w:rPr>
          <w:rFonts w:hint="default" w:ascii="仿宋_GB2312" w:hAnsi="Times New Roman" w:eastAsia="仿宋_GB2312" w:cs="Times New Roman"/>
          <w:color w:val="auto"/>
          <w:kern w:val="0"/>
          <w:sz w:val="28"/>
          <w:szCs w:val="28"/>
          <w:lang w:eastAsia="zh-CN"/>
        </w:rPr>
      </w:pPr>
      <w:r>
        <w:rPr>
          <w:rFonts w:ascii="仿宋_GB2312" w:hAnsi="Times New Roman" w:eastAsia="仿宋_GB2312" w:cs="Times New Roman"/>
          <w:color w:val="auto"/>
          <w:kern w:val="0"/>
          <w:sz w:val="28"/>
          <w:szCs w:val="28"/>
          <w:lang w:eastAsia="zh-CN"/>
        </w:rPr>
        <w:t>根据招标文件要求，提供投标人认证等证书。（提供认证</w:t>
      </w:r>
      <w:r>
        <w:rPr>
          <w:rFonts w:ascii="仿宋_GB2312" w:hAnsi="Times New Roman" w:eastAsia="仿宋_GB2312" w:cs="Times New Roman"/>
          <w:color w:val="auto"/>
          <w:sz w:val="28"/>
          <w:szCs w:val="28"/>
          <w:lang w:eastAsia="zh-CN"/>
        </w:rPr>
        <w:t>扫描件</w:t>
      </w:r>
      <w:r>
        <w:rPr>
          <w:rFonts w:ascii="仿宋_GB2312" w:hAnsi="Times New Roman" w:eastAsia="仿宋_GB2312" w:cs="Times New Roman"/>
          <w:color w:val="auto"/>
          <w:kern w:val="0"/>
          <w:sz w:val="28"/>
          <w:szCs w:val="28"/>
          <w:lang w:eastAsia="zh-CN"/>
        </w:rPr>
        <w:t>，扫描不清晰的不得分，招标文件未要求的不需要提供）</w:t>
      </w:r>
    </w:p>
    <w:p w14:paraId="00B6C13E">
      <w:pPr>
        <w:rPr>
          <w:rFonts w:hint="default" w:ascii="仿宋_GB2312" w:hAnsi="Times New Roman" w:eastAsia="仿宋_GB2312" w:cs="Times New Roman"/>
          <w:color w:val="auto"/>
          <w:lang w:eastAsia="zh-CN"/>
        </w:rPr>
      </w:pPr>
    </w:p>
    <w:p w14:paraId="290742FE">
      <w:pPr>
        <w:pStyle w:val="4"/>
        <w:spacing w:line="360" w:lineRule="exact"/>
        <w:rPr>
          <w:rFonts w:ascii="仿宋_GB2312" w:hAnsi="Times New Roman" w:eastAsia="仿宋_GB2312"/>
          <w:bCs w:val="0"/>
          <w:color w:val="auto"/>
          <w:sz w:val="28"/>
          <w:szCs w:val="28"/>
          <w:lang w:eastAsia="zh-CN"/>
        </w:rPr>
      </w:pPr>
      <w:bookmarkStart w:id="455" w:name="_Toc619505013"/>
      <w:bookmarkStart w:id="456" w:name="_Toc71543327"/>
      <w:bookmarkStart w:id="457" w:name="_Toc973020382"/>
      <w:bookmarkStart w:id="458" w:name="_Toc1849820970"/>
      <w:bookmarkStart w:id="459" w:name="_Toc2110045194"/>
      <w:bookmarkStart w:id="460" w:name="_Toc799340312_WPSOffice_Level3"/>
      <w:r>
        <w:rPr>
          <w:rFonts w:hint="eastAsia" w:ascii="仿宋_GB2312" w:hAnsi="Times New Roman" w:eastAsia="仿宋_GB2312"/>
          <w:bCs w:val="0"/>
          <w:color w:val="auto"/>
          <w:sz w:val="28"/>
          <w:szCs w:val="28"/>
          <w:lang w:val="en-US" w:eastAsia="zh-CN"/>
        </w:rPr>
        <w:t>2</w:t>
      </w:r>
      <w:r>
        <w:rPr>
          <w:rFonts w:hint="eastAsia" w:ascii="仿宋_GB2312" w:hAnsi="Times New Roman" w:eastAsia="仿宋_GB2312"/>
          <w:color w:val="auto"/>
          <w:sz w:val="28"/>
          <w:szCs w:val="28"/>
          <w:lang w:val="en-US" w:eastAsia="zh-CN"/>
        </w:rPr>
        <w:t>.</w:t>
      </w:r>
      <w:r>
        <w:rPr>
          <w:rFonts w:hint="eastAsia" w:ascii="仿宋_GB2312" w:hAnsi="Times New Roman" w:eastAsia="仿宋_GB2312"/>
          <w:color w:val="auto"/>
          <w:sz w:val="28"/>
          <w:szCs w:val="28"/>
          <w:lang w:eastAsia="zh-CN"/>
        </w:rPr>
        <w:t>类似项目业绩</w:t>
      </w:r>
      <w:bookmarkEnd w:id="455"/>
      <w:bookmarkEnd w:id="456"/>
      <w:bookmarkEnd w:id="457"/>
      <w:bookmarkEnd w:id="458"/>
      <w:bookmarkEnd w:id="459"/>
      <w:bookmarkEnd w:id="460"/>
    </w:p>
    <w:p w14:paraId="59E519E7">
      <w:pPr>
        <w:spacing w:line="360" w:lineRule="exact"/>
        <w:ind w:firstLine="480"/>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color w:val="auto"/>
          <w:sz w:val="28"/>
          <w:szCs w:val="28"/>
          <w:lang w:eastAsia="zh-CN"/>
        </w:rPr>
        <w:t>附表：相关项目业绩一览表</w:t>
      </w:r>
    </w:p>
    <w:tbl>
      <w:tblPr>
        <w:tblStyle w:val="51"/>
        <w:tblW w:w="0" w:type="auto"/>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423"/>
        <w:gridCol w:w="2524"/>
        <w:gridCol w:w="1788"/>
        <w:gridCol w:w="1624"/>
      </w:tblGrid>
      <w:tr w14:paraId="3A859F2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61"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1378D799">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项目名称</w:t>
            </w: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3CF97625">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简要描述</w:t>
            </w: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1C967532">
            <w:pPr>
              <w:jc w:val="center"/>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color w:val="auto"/>
                <w:kern w:val="0"/>
                <w:sz w:val="28"/>
                <w:szCs w:val="28"/>
              </w:rPr>
              <w:t>项目金额</w:t>
            </w:r>
          </w:p>
          <w:p w14:paraId="3D2E3D01">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（万元）</w:t>
            </w: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6FEA4E67">
            <w:pPr>
              <w:jc w:val="center"/>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color w:val="auto"/>
                <w:kern w:val="0"/>
                <w:sz w:val="28"/>
                <w:szCs w:val="28"/>
              </w:rPr>
              <w:t>项目单位</w:t>
            </w:r>
          </w:p>
          <w:p w14:paraId="0E01C42C">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联系电话</w:t>
            </w:r>
          </w:p>
        </w:tc>
      </w:tr>
      <w:tr w14:paraId="7318F61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5"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B6B8A8C">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AFC40C2">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97B2B63">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48F314D">
            <w:pPr>
              <w:rPr>
                <w:rFonts w:hint="default" w:ascii="Times New Roman" w:hAnsi="Times New Roman" w:eastAsia="仿宋_GB2312" w:cs="Times New Roman"/>
                <w:color w:val="auto"/>
                <w:kern w:val="0"/>
                <w:sz w:val="28"/>
                <w:szCs w:val="28"/>
              </w:rPr>
            </w:pPr>
          </w:p>
        </w:tc>
      </w:tr>
      <w:tr w14:paraId="69FCB6E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1"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6F37F7A">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7A4533FF">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26FFEEC">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39DB9C3F">
            <w:pPr>
              <w:rPr>
                <w:rFonts w:hint="default" w:ascii="Times New Roman" w:hAnsi="Times New Roman" w:eastAsia="仿宋_GB2312" w:cs="Times New Roman"/>
                <w:color w:val="auto"/>
                <w:kern w:val="0"/>
                <w:sz w:val="28"/>
                <w:szCs w:val="28"/>
              </w:rPr>
            </w:pPr>
          </w:p>
        </w:tc>
      </w:tr>
      <w:tr w14:paraId="12333B1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6B97903">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23E55A7">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CE87F24">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39D0BBC0">
            <w:pPr>
              <w:rPr>
                <w:rFonts w:hint="default" w:ascii="Times New Roman" w:hAnsi="Times New Roman" w:eastAsia="仿宋_GB2312" w:cs="Times New Roman"/>
                <w:color w:val="auto"/>
                <w:kern w:val="0"/>
                <w:sz w:val="28"/>
                <w:szCs w:val="28"/>
              </w:rPr>
            </w:pPr>
          </w:p>
        </w:tc>
      </w:tr>
      <w:tr w14:paraId="2C171B3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449FB63">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3466EBBC">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CAB8AA0">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3B2134D6">
            <w:pPr>
              <w:rPr>
                <w:rFonts w:hint="default" w:ascii="Times New Roman" w:hAnsi="Times New Roman" w:eastAsia="仿宋_GB2312" w:cs="Times New Roman"/>
                <w:color w:val="auto"/>
                <w:kern w:val="0"/>
                <w:sz w:val="28"/>
                <w:szCs w:val="28"/>
              </w:rPr>
            </w:pPr>
          </w:p>
        </w:tc>
      </w:tr>
      <w:tr w14:paraId="0DC4083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99"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06A4085">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47E3447">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E3ED370">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C6AF379">
            <w:pPr>
              <w:rPr>
                <w:rFonts w:hint="default" w:ascii="Times New Roman" w:hAnsi="Times New Roman" w:eastAsia="仿宋_GB2312" w:cs="Times New Roman"/>
                <w:color w:val="auto"/>
                <w:kern w:val="0"/>
                <w:sz w:val="28"/>
                <w:szCs w:val="28"/>
              </w:rPr>
            </w:pPr>
          </w:p>
        </w:tc>
      </w:tr>
    </w:tbl>
    <w:p w14:paraId="35212636">
      <w:pPr>
        <w:widowControl w:val="0"/>
        <w:rPr>
          <w:rFonts w:hint="default" w:ascii="Times New Roman" w:hAnsi="Times New Roman" w:eastAsia="仿宋_GB2312" w:cs="Times New Roman"/>
          <w:color w:val="auto"/>
          <w:sz w:val="28"/>
          <w:szCs w:val="28"/>
        </w:rPr>
      </w:pPr>
    </w:p>
    <w:p w14:paraId="265447E0">
      <w:pPr>
        <w:spacing w:line="360" w:lineRule="auto"/>
        <w:rPr>
          <w:rFonts w:hint="default" w:ascii="仿宋_GB2312" w:hAnsi="Times New Roman" w:eastAsia="仿宋_GB2312" w:cs="Times New Roman"/>
          <w:b/>
          <w:color w:val="auto"/>
          <w:sz w:val="28"/>
          <w:szCs w:val="28"/>
          <w:lang w:eastAsia="zh-CN"/>
        </w:rPr>
      </w:pPr>
      <w:r>
        <w:rPr>
          <w:rFonts w:ascii="仿宋_GB2312" w:hAnsi="Times New Roman" w:eastAsia="仿宋_GB2312" w:cs="Times New Roman"/>
          <w:b/>
          <w:color w:val="auto"/>
          <w:sz w:val="28"/>
          <w:szCs w:val="28"/>
          <w:lang w:eastAsia="zh-CN"/>
        </w:rPr>
        <w:t>注：（</w:t>
      </w:r>
      <w:r>
        <w:rPr>
          <w:rFonts w:ascii="仿宋_GB2312" w:hAnsi="Times New Roman" w:eastAsia="仿宋_GB2312" w:cs="Times New Roman"/>
          <w:b/>
          <w:color w:val="auto"/>
          <w:sz w:val="28"/>
          <w:szCs w:val="28"/>
          <w:lang w:val="en-US" w:eastAsia="zh-CN"/>
        </w:rPr>
        <w:t>1</w:t>
      </w:r>
      <w:r>
        <w:rPr>
          <w:rFonts w:ascii="仿宋_GB2312" w:hAnsi="Times New Roman" w:eastAsia="仿宋_GB2312" w:cs="Times New Roman"/>
          <w:b/>
          <w:color w:val="auto"/>
          <w:sz w:val="28"/>
          <w:szCs w:val="28"/>
          <w:lang w:eastAsia="zh-CN"/>
        </w:rPr>
        <w:t>）投标人可按上述的格式自行编制，后附扫描件。</w:t>
      </w:r>
    </w:p>
    <w:p w14:paraId="0360943F">
      <w:pPr>
        <w:numPr>
          <w:ilvl w:val="0"/>
          <w:numId w:val="3"/>
        </w:numPr>
        <w:spacing w:line="360" w:lineRule="auto"/>
        <w:rPr>
          <w:rFonts w:hint="default" w:ascii="仿宋_GB2312" w:hAnsi="Times New Roman" w:eastAsia="仿宋_GB2312" w:cs="Times New Roman"/>
          <w:b/>
          <w:color w:val="auto"/>
          <w:sz w:val="28"/>
          <w:szCs w:val="28"/>
          <w:lang w:eastAsia="zh-CN"/>
        </w:rPr>
      </w:pPr>
      <w:r>
        <w:rPr>
          <w:rFonts w:ascii="仿宋_GB2312" w:hAnsi="Times New Roman" w:eastAsia="仿宋_GB2312" w:cs="Times New Roman"/>
          <w:b/>
          <w:color w:val="auto"/>
          <w:sz w:val="28"/>
          <w:szCs w:val="28"/>
          <w:lang w:eastAsia="zh-CN"/>
        </w:rPr>
        <w:t>业绩扫描不清楚或合同总金额不明确的不予认可，虚假业绩将自行承担相关责任。</w:t>
      </w:r>
    </w:p>
    <w:p w14:paraId="73CD02F1">
      <w:pPr>
        <w:spacing w:line="360" w:lineRule="auto"/>
        <w:ind w:left="562"/>
        <w:rPr>
          <w:rFonts w:hint="default" w:ascii="仿宋_GB2312" w:hAnsi="Times New Roman" w:eastAsia="仿宋_GB2312" w:cs="Times New Roman"/>
          <w:color w:val="auto"/>
          <w:sz w:val="28"/>
          <w:szCs w:val="28"/>
          <w:lang w:eastAsia="zh-CN"/>
        </w:rPr>
      </w:pPr>
      <w:r>
        <w:rPr>
          <w:rFonts w:ascii="仿宋_GB2312" w:hAnsi="Times New Roman" w:eastAsia="仿宋_GB2312" w:cs="Times New Roman"/>
          <w:b/>
          <w:color w:val="auto"/>
          <w:sz w:val="28"/>
          <w:szCs w:val="28"/>
          <w:lang w:eastAsia="zh-CN"/>
        </w:rPr>
        <w:t>（3）招标文件未要求提供业绩证明文件的，投标人可不提供。</w:t>
      </w:r>
    </w:p>
    <w:p w14:paraId="120D679E">
      <w:pPr>
        <w:pStyle w:val="3"/>
        <w:spacing w:before="0" w:after="0" w:line="360" w:lineRule="auto"/>
        <w:jc w:val="center"/>
        <w:rPr>
          <w:rFonts w:ascii="Times New Roman" w:hAnsi="Times New Roman" w:eastAsia="方正小标宋_GBK"/>
          <w:b w:val="0"/>
          <w:color w:val="auto"/>
          <w:sz w:val="30"/>
          <w:szCs w:val="30"/>
          <w:lang w:eastAsia="zh-CN"/>
        </w:rPr>
      </w:pPr>
      <w:bookmarkStart w:id="461" w:name="_Toc1027952896"/>
      <w:bookmarkStart w:id="462" w:name="_Toc349828394"/>
      <w:bookmarkStart w:id="463" w:name="_Toc297277348"/>
      <w:bookmarkStart w:id="464" w:name="_Toc1276166143"/>
      <w:bookmarkStart w:id="465" w:name="_Toc1405132080"/>
      <w:bookmarkStart w:id="466" w:name="_Toc1342357120"/>
      <w:bookmarkStart w:id="467" w:name="_Toc741327320"/>
      <w:bookmarkStart w:id="468" w:name="_Toc203536082"/>
      <w:bookmarkStart w:id="469" w:name="_Toc71543334"/>
      <w:bookmarkStart w:id="470" w:name="_Toc1642658699"/>
      <w:bookmarkStart w:id="471" w:name="_Toc2003764980"/>
      <w:r>
        <w:rPr>
          <w:rFonts w:ascii="Times New Roman" w:hAnsi="Times New Roman" w:eastAsia="方正小标宋_GBK"/>
          <w:b w:val="0"/>
          <w:color w:val="auto"/>
          <w:sz w:val="30"/>
          <w:szCs w:val="30"/>
          <w:lang w:val="en" w:eastAsia="zh-CN"/>
        </w:rPr>
        <w:br w:type="page"/>
      </w:r>
      <w:r>
        <w:rPr>
          <w:rFonts w:hint="eastAsia" w:ascii="Times New Roman" w:hAnsi="Times New Roman" w:eastAsia="方正小标宋_GBK"/>
          <w:b w:val="0"/>
          <w:color w:val="auto"/>
          <w:sz w:val="30"/>
          <w:szCs w:val="30"/>
          <w:lang w:val="en-US" w:eastAsia="zh-CN"/>
        </w:rPr>
        <w:t>十</w:t>
      </w:r>
      <w:r>
        <w:rPr>
          <w:rFonts w:ascii="Times New Roman" w:hAnsi="Times New Roman" w:eastAsia="方正小标宋_GBK"/>
          <w:b w:val="0"/>
          <w:color w:val="auto"/>
          <w:sz w:val="30"/>
          <w:szCs w:val="30"/>
          <w:lang w:eastAsia="zh-CN"/>
        </w:rPr>
        <w:t>、</w:t>
      </w:r>
      <w:r>
        <w:rPr>
          <w:rFonts w:hint="eastAsia" w:ascii="Times New Roman" w:hAnsi="Times New Roman" w:eastAsia="方正小标宋_GBK"/>
          <w:b w:val="0"/>
          <w:color w:val="auto"/>
          <w:sz w:val="30"/>
          <w:szCs w:val="30"/>
          <w:lang w:eastAsia="zh-CN"/>
        </w:rPr>
        <w:t>产品适用政府采购政策情况表（节能、环保）</w:t>
      </w:r>
    </w:p>
    <w:tbl>
      <w:tblPr>
        <w:tblStyle w:val="51"/>
        <w:tblW w:w="9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890"/>
        <w:gridCol w:w="10"/>
        <w:gridCol w:w="1018"/>
        <w:gridCol w:w="1190"/>
        <w:gridCol w:w="1490"/>
        <w:gridCol w:w="40"/>
        <w:gridCol w:w="40"/>
        <w:gridCol w:w="830"/>
        <w:gridCol w:w="30"/>
        <w:gridCol w:w="10"/>
        <w:gridCol w:w="903"/>
        <w:gridCol w:w="1477"/>
      </w:tblGrid>
      <w:tr w14:paraId="69716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24" w:type="dxa"/>
            <w:vMerge w:val="restart"/>
            <w:vAlign w:val="center"/>
          </w:tcPr>
          <w:p w14:paraId="5883E5D0">
            <w:pPr>
              <w:pStyle w:val="208"/>
              <w:tabs>
                <w:tab w:val="left" w:pos="1260"/>
              </w:tabs>
              <w:spacing w:line="400" w:lineRule="exact"/>
              <w:jc w:val="center"/>
              <w:rPr>
                <w:rFonts w:hint="eastAsia" w:ascii="宋体" w:hAnsi="宋体"/>
                <w:lang w:val="en-GB"/>
              </w:rPr>
            </w:pPr>
            <w:r>
              <w:rPr>
                <w:rFonts w:hint="eastAsia" w:ascii="宋体" w:hAnsi="宋体"/>
                <w:lang w:val="en-GB"/>
              </w:rPr>
              <w:t>节能产品</w:t>
            </w:r>
          </w:p>
        </w:tc>
        <w:tc>
          <w:tcPr>
            <w:tcW w:w="1900" w:type="dxa"/>
            <w:gridSpan w:val="2"/>
            <w:vAlign w:val="center"/>
          </w:tcPr>
          <w:p w14:paraId="41A204DB">
            <w:pPr>
              <w:pStyle w:val="208"/>
              <w:tabs>
                <w:tab w:val="left" w:pos="1260"/>
              </w:tabs>
              <w:spacing w:line="400" w:lineRule="exact"/>
              <w:jc w:val="center"/>
              <w:rPr>
                <w:rFonts w:hint="eastAsia" w:ascii="宋体" w:hAnsi="宋体"/>
                <w:lang w:val="en-GB"/>
              </w:rPr>
            </w:pPr>
            <w:r>
              <w:rPr>
                <w:rFonts w:hint="eastAsia" w:ascii="宋体" w:hAnsi="宋体"/>
                <w:lang w:val="en-GB"/>
              </w:rPr>
              <w:t>1、优先采购</w:t>
            </w:r>
          </w:p>
          <w:p w14:paraId="45E53203">
            <w:pPr>
              <w:pStyle w:val="208"/>
              <w:tabs>
                <w:tab w:val="left" w:pos="1260"/>
              </w:tabs>
              <w:spacing w:line="400" w:lineRule="exact"/>
              <w:jc w:val="center"/>
              <w:rPr>
                <w:rFonts w:hint="eastAsia" w:ascii="宋体" w:hAnsi="宋体"/>
                <w:lang w:val="en-GB"/>
              </w:rPr>
            </w:pPr>
            <w:r>
              <w:rPr>
                <w:rFonts w:hint="eastAsia" w:ascii="宋体" w:hAnsi="宋体"/>
                <w:lang w:val="en-GB"/>
              </w:rPr>
              <w:t>产品名称</w:t>
            </w:r>
          </w:p>
        </w:tc>
        <w:tc>
          <w:tcPr>
            <w:tcW w:w="1018" w:type="dxa"/>
            <w:vAlign w:val="center"/>
          </w:tcPr>
          <w:p w14:paraId="28B59FAD">
            <w:pPr>
              <w:pStyle w:val="208"/>
              <w:tabs>
                <w:tab w:val="left" w:pos="1260"/>
              </w:tabs>
              <w:spacing w:line="400" w:lineRule="exact"/>
              <w:jc w:val="center"/>
              <w:rPr>
                <w:rFonts w:hint="eastAsia" w:ascii="宋体" w:hAnsi="宋体"/>
                <w:lang w:val="en-GB"/>
              </w:rPr>
            </w:pPr>
            <w:r>
              <w:rPr>
                <w:rFonts w:hint="eastAsia" w:ascii="宋体" w:hAnsi="宋体"/>
                <w:lang w:val="en-GB"/>
              </w:rPr>
              <w:t>品牌、型号</w:t>
            </w:r>
          </w:p>
        </w:tc>
        <w:tc>
          <w:tcPr>
            <w:tcW w:w="1190" w:type="dxa"/>
            <w:vAlign w:val="center"/>
          </w:tcPr>
          <w:p w14:paraId="498B7439">
            <w:pPr>
              <w:pStyle w:val="208"/>
              <w:tabs>
                <w:tab w:val="left" w:pos="1260"/>
              </w:tabs>
              <w:spacing w:line="400" w:lineRule="exact"/>
              <w:jc w:val="center"/>
              <w:rPr>
                <w:rFonts w:hint="eastAsia" w:ascii="宋体" w:hAnsi="宋体"/>
                <w:lang w:val="en-GB"/>
              </w:rPr>
            </w:pPr>
            <w:r>
              <w:rPr>
                <w:rFonts w:hint="eastAsia" w:ascii="宋体" w:hAnsi="宋体"/>
                <w:lang w:val="en-GB"/>
              </w:rPr>
              <w:t>制造商</w:t>
            </w:r>
          </w:p>
        </w:tc>
        <w:tc>
          <w:tcPr>
            <w:tcW w:w="1490" w:type="dxa"/>
            <w:vAlign w:val="center"/>
          </w:tcPr>
          <w:p w14:paraId="7D5EACD4">
            <w:pPr>
              <w:pStyle w:val="208"/>
              <w:tabs>
                <w:tab w:val="left" w:pos="1260"/>
              </w:tabs>
              <w:spacing w:line="400" w:lineRule="exact"/>
              <w:jc w:val="center"/>
              <w:rPr>
                <w:rFonts w:hint="eastAsia" w:ascii="宋体" w:hAnsi="宋体"/>
                <w:lang w:val="en-GB"/>
              </w:rPr>
            </w:pPr>
            <w:r>
              <w:rPr>
                <w:rFonts w:hint="eastAsia" w:ascii="宋体" w:hAnsi="宋体"/>
                <w:lang w:val="en-GB"/>
              </w:rPr>
              <w:t>认证证书编号</w:t>
            </w:r>
          </w:p>
        </w:tc>
        <w:tc>
          <w:tcPr>
            <w:tcW w:w="910" w:type="dxa"/>
            <w:gridSpan w:val="3"/>
            <w:vAlign w:val="center"/>
          </w:tcPr>
          <w:p w14:paraId="5EAD9C82">
            <w:pPr>
              <w:spacing w:line="400" w:lineRule="exact"/>
              <w:jc w:val="center"/>
            </w:pPr>
            <w:r>
              <w:t>数量</w:t>
            </w:r>
          </w:p>
        </w:tc>
        <w:tc>
          <w:tcPr>
            <w:tcW w:w="943" w:type="dxa"/>
            <w:gridSpan w:val="3"/>
            <w:vAlign w:val="center"/>
          </w:tcPr>
          <w:p w14:paraId="2924401A">
            <w:pPr>
              <w:spacing w:line="400" w:lineRule="exact"/>
              <w:jc w:val="center"/>
            </w:pPr>
            <w:r>
              <w:t>单价</w:t>
            </w:r>
            <w:r>
              <w:rPr>
                <w:rFonts w:ascii="宋体" w:hAnsi="宋体"/>
                <w:lang w:val="en-GB"/>
              </w:rPr>
              <w:t>（元）</w:t>
            </w:r>
          </w:p>
        </w:tc>
        <w:tc>
          <w:tcPr>
            <w:tcW w:w="1477" w:type="dxa"/>
            <w:vAlign w:val="center"/>
          </w:tcPr>
          <w:p w14:paraId="1B0478A0">
            <w:pPr>
              <w:pStyle w:val="208"/>
              <w:tabs>
                <w:tab w:val="left" w:pos="1260"/>
              </w:tabs>
              <w:spacing w:line="400" w:lineRule="exact"/>
              <w:jc w:val="center"/>
              <w:rPr>
                <w:rFonts w:hint="eastAsia" w:ascii="宋体" w:hAnsi="宋体"/>
                <w:lang w:val="en-GB"/>
              </w:rPr>
            </w:pPr>
            <w:r>
              <w:rPr>
                <w:rFonts w:hint="eastAsia" w:ascii="宋体" w:hAnsi="宋体"/>
                <w:lang w:val="en-GB"/>
              </w:rPr>
              <w:t>合计（元）</w:t>
            </w:r>
          </w:p>
        </w:tc>
      </w:tr>
      <w:tr w14:paraId="2ADC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24E05C9E">
            <w:pPr>
              <w:pStyle w:val="208"/>
              <w:tabs>
                <w:tab w:val="left" w:pos="1260"/>
              </w:tabs>
              <w:spacing w:line="400" w:lineRule="exact"/>
              <w:jc w:val="center"/>
              <w:rPr>
                <w:rFonts w:hint="eastAsia" w:ascii="宋体" w:hAnsi="宋体"/>
                <w:lang w:val="en-GB"/>
              </w:rPr>
            </w:pPr>
          </w:p>
        </w:tc>
        <w:tc>
          <w:tcPr>
            <w:tcW w:w="1900" w:type="dxa"/>
            <w:gridSpan w:val="2"/>
            <w:vAlign w:val="center"/>
          </w:tcPr>
          <w:p w14:paraId="5F08C3EC">
            <w:pPr>
              <w:pStyle w:val="208"/>
              <w:tabs>
                <w:tab w:val="left" w:pos="1260"/>
              </w:tabs>
              <w:spacing w:line="400" w:lineRule="exact"/>
              <w:jc w:val="center"/>
              <w:rPr>
                <w:rFonts w:hint="eastAsia" w:ascii="宋体" w:hAnsi="宋体"/>
                <w:lang w:val="en-GB"/>
              </w:rPr>
            </w:pPr>
          </w:p>
        </w:tc>
        <w:tc>
          <w:tcPr>
            <w:tcW w:w="1018" w:type="dxa"/>
            <w:vAlign w:val="center"/>
          </w:tcPr>
          <w:p w14:paraId="173F725B">
            <w:pPr>
              <w:pStyle w:val="208"/>
              <w:tabs>
                <w:tab w:val="left" w:pos="1260"/>
              </w:tabs>
              <w:spacing w:line="400" w:lineRule="exact"/>
              <w:jc w:val="center"/>
              <w:rPr>
                <w:rFonts w:hint="eastAsia" w:ascii="宋体" w:hAnsi="宋体"/>
                <w:lang w:val="en-GB"/>
              </w:rPr>
            </w:pPr>
          </w:p>
        </w:tc>
        <w:tc>
          <w:tcPr>
            <w:tcW w:w="1190" w:type="dxa"/>
            <w:vAlign w:val="center"/>
          </w:tcPr>
          <w:p w14:paraId="072FCB6B">
            <w:pPr>
              <w:pStyle w:val="208"/>
              <w:tabs>
                <w:tab w:val="left" w:pos="1260"/>
              </w:tabs>
              <w:spacing w:line="400" w:lineRule="exact"/>
              <w:jc w:val="center"/>
              <w:rPr>
                <w:rFonts w:hint="eastAsia" w:ascii="宋体" w:hAnsi="宋体"/>
                <w:lang w:val="en-GB"/>
              </w:rPr>
            </w:pPr>
          </w:p>
        </w:tc>
        <w:tc>
          <w:tcPr>
            <w:tcW w:w="1490" w:type="dxa"/>
            <w:vAlign w:val="center"/>
          </w:tcPr>
          <w:p w14:paraId="36E94924">
            <w:pPr>
              <w:pStyle w:val="208"/>
              <w:tabs>
                <w:tab w:val="left" w:pos="1260"/>
              </w:tabs>
              <w:spacing w:line="400" w:lineRule="exact"/>
              <w:jc w:val="center"/>
              <w:rPr>
                <w:rFonts w:hint="eastAsia" w:ascii="宋体" w:hAnsi="宋体"/>
                <w:lang w:val="en-GB"/>
              </w:rPr>
            </w:pPr>
          </w:p>
        </w:tc>
        <w:tc>
          <w:tcPr>
            <w:tcW w:w="910" w:type="dxa"/>
            <w:gridSpan w:val="3"/>
            <w:vAlign w:val="center"/>
          </w:tcPr>
          <w:p w14:paraId="63E3F534">
            <w:pPr>
              <w:pStyle w:val="208"/>
              <w:tabs>
                <w:tab w:val="left" w:pos="1260"/>
              </w:tabs>
              <w:spacing w:line="400" w:lineRule="exact"/>
              <w:jc w:val="center"/>
              <w:rPr>
                <w:rFonts w:hint="eastAsia" w:ascii="宋体" w:hAnsi="宋体"/>
                <w:lang w:val="en-GB"/>
              </w:rPr>
            </w:pPr>
          </w:p>
        </w:tc>
        <w:tc>
          <w:tcPr>
            <w:tcW w:w="943" w:type="dxa"/>
            <w:gridSpan w:val="3"/>
            <w:vAlign w:val="center"/>
          </w:tcPr>
          <w:p w14:paraId="197FC645">
            <w:pPr>
              <w:pStyle w:val="208"/>
              <w:tabs>
                <w:tab w:val="left" w:pos="1260"/>
              </w:tabs>
              <w:spacing w:line="400" w:lineRule="exact"/>
              <w:jc w:val="center"/>
              <w:rPr>
                <w:rFonts w:hint="eastAsia" w:ascii="宋体" w:hAnsi="宋体"/>
                <w:lang w:val="en-GB"/>
              </w:rPr>
            </w:pPr>
          </w:p>
        </w:tc>
        <w:tc>
          <w:tcPr>
            <w:tcW w:w="1477" w:type="dxa"/>
            <w:vAlign w:val="center"/>
          </w:tcPr>
          <w:p w14:paraId="085B8FF7">
            <w:pPr>
              <w:pStyle w:val="208"/>
              <w:tabs>
                <w:tab w:val="left" w:pos="1260"/>
              </w:tabs>
              <w:spacing w:line="400" w:lineRule="exact"/>
              <w:jc w:val="center"/>
              <w:rPr>
                <w:rFonts w:hint="eastAsia" w:ascii="宋体" w:hAnsi="宋体"/>
                <w:lang w:val="en-GB"/>
              </w:rPr>
            </w:pPr>
          </w:p>
        </w:tc>
      </w:tr>
      <w:tr w14:paraId="033CE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1C9C8FDF">
            <w:pPr>
              <w:pStyle w:val="208"/>
              <w:tabs>
                <w:tab w:val="left" w:pos="1260"/>
              </w:tabs>
              <w:spacing w:line="400" w:lineRule="exact"/>
              <w:jc w:val="center"/>
              <w:rPr>
                <w:rFonts w:hint="eastAsia" w:ascii="宋体" w:hAnsi="宋体"/>
                <w:lang w:val="en-GB"/>
              </w:rPr>
            </w:pPr>
          </w:p>
        </w:tc>
        <w:tc>
          <w:tcPr>
            <w:tcW w:w="1900" w:type="dxa"/>
            <w:gridSpan w:val="2"/>
            <w:vAlign w:val="center"/>
          </w:tcPr>
          <w:p w14:paraId="6DDD6E58">
            <w:pPr>
              <w:pStyle w:val="208"/>
              <w:tabs>
                <w:tab w:val="left" w:pos="1260"/>
              </w:tabs>
              <w:spacing w:line="400" w:lineRule="exact"/>
              <w:jc w:val="center"/>
              <w:rPr>
                <w:rFonts w:hint="eastAsia" w:ascii="宋体" w:hAnsi="宋体"/>
                <w:lang w:val="en-GB"/>
              </w:rPr>
            </w:pPr>
          </w:p>
        </w:tc>
        <w:tc>
          <w:tcPr>
            <w:tcW w:w="1018" w:type="dxa"/>
            <w:vAlign w:val="center"/>
          </w:tcPr>
          <w:p w14:paraId="26CD3250">
            <w:pPr>
              <w:pStyle w:val="208"/>
              <w:tabs>
                <w:tab w:val="left" w:pos="1260"/>
              </w:tabs>
              <w:spacing w:line="400" w:lineRule="exact"/>
              <w:jc w:val="center"/>
              <w:rPr>
                <w:rFonts w:hint="eastAsia" w:ascii="宋体" w:hAnsi="宋体"/>
                <w:lang w:val="en-GB"/>
              </w:rPr>
            </w:pPr>
          </w:p>
        </w:tc>
        <w:tc>
          <w:tcPr>
            <w:tcW w:w="1190" w:type="dxa"/>
            <w:vAlign w:val="center"/>
          </w:tcPr>
          <w:p w14:paraId="1F1322AD">
            <w:pPr>
              <w:pStyle w:val="208"/>
              <w:tabs>
                <w:tab w:val="left" w:pos="1260"/>
              </w:tabs>
              <w:spacing w:line="400" w:lineRule="exact"/>
              <w:jc w:val="center"/>
              <w:rPr>
                <w:rFonts w:hint="eastAsia" w:ascii="宋体" w:hAnsi="宋体"/>
                <w:lang w:val="en-GB"/>
              </w:rPr>
            </w:pPr>
          </w:p>
        </w:tc>
        <w:tc>
          <w:tcPr>
            <w:tcW w:w="1490" w:type="dxa"/>
            <w:vAlign w:val="center"/>
          </w:tcPr>
          <w:p w14:paraId="467283B8">
            <w:pPr>
              <w:pStyle w:val="208"/>
              <w:tabs>
                <w:tab w:val="left" w:pos="1260"/>
              </w:tabs>
              <w:spacing w:line="400" w:lineRule="exact"/>
              <w:jc w:val="center"/>
              <w:rPr>
                <w:rFonts w:hint="eastAsia" w:ascii="宋体" w:hAnsi="宋体"/>
                <w:lang w:val="en-GB"/>
              </w:rPr>
            </w:pPr>
          </w:p>
        </w:tc>
        <w:tc>
          <w:tcPr>
            <w:tcW w:w="910" w:type="dxa"/>
            <w:gridSpan w:val="3"/>
            <w:vAlign w:val="center"/>
          </w:tcPr>
          <w:p w14:paraId="4C153623">
            <w:pPr>
              <w:pStyle w:val="208"/>
              <w:tabs>
                <w:tab w:val="left" w:pos="1260"/>
              </w:tabs>
              <w:spacing w:line="400" w:lineRule="exact"/>
              <w:jc w:val="center"/>
              <w:rPr>
                <w:rFonts w:hint="eastAsia" w:ascii="宋体" w:hAnsi="宋体"/>
                <w:lang w:val="en-GB"/>
              </w:rPr>
            </w:pPr>
          </w:p>
        </w:tc>
        <w:tc>
          <w:tcPr>
            <w:tcW w:w="943" w:type="dxa"/>
            <w:gridSpan w:val="3"/>
            <w:vAlign w:val="center"/>
          </w:tcPr>
          <w:p w14:paraId="21427CEF">
            <w:pPr>
              <w:pStyle w:val="208"/>
              <w:tabs>
                <w:tab w:val="left" w:pos="1260"/>
              </w:tabs>
              <w:spacing w:line="400" w:lineRule="exact"/>
              <w:jc w:val="center"/>
              <w:rPr>
                <w:rFonts w:hint="eastAsia" w:ascii="宋体" w:hAnsi="宋体"/>
                <w:lang w:val="en-GB"/>
              </w:rPr>
            </w:pPr>
          </w:p>
        </w:tc>
        <w:tc>
          <w:tcPr>
            <w:tcW w:w="1477" w:type="dxa"/>
            <w:vAlign w:val="center"/>
          </w:tcPr>
          <w:p w14:paraId="0A87652E">
            <w:pPr>
              <w:pStyle w:val="208"/>
              <w:tabs>
                <w:tab w:val="left" w:pos="1260"/>
              </w:tabs>
              <w:spacing w:line="400" w:lineRule="exact"/>
              <w:jc w:val="center"/>
              <w:rPr>
                <w:rFonts w:hint="eastAsia" w:ascii="宋体" w:hAnsi="宋体"/>
                <w:lang w:val="en-GB"/>
              </w:rPr>
            </w:pPr>
          </w:p>
        </w:tc>
      </w:tr>
      <w:tr w14:paraId="14791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5D68FC86">
            <w:pPr>
              <w:pStyle w:val="208"/>
              <w:tabs>
                <w:tab w:val="left" w:pos="1260"/>
              </w:tabs>
              <w:spacing w:line="400" w:lineRule="exact"/>
              <w:jc w:val="center"/>
              <w:rPr>
                <w:rFonts w:hint="eastAsia" w:ascii="宋体" w:hAnsi="宋体"/>
                <w:lang w:val="en-GB"/>
              </w:rPr>
            </w:pPr>
          </w:p>
        </w:tc>
        <w:tc>
          <w:tcPr>
            <w:tcW w:w="7451" w:type="dxa"/>
            <w:gridSpan w:val="11"/>
            <w:vAlign w:val="center"/>
          </w:tcPr>
          <w:p w14:paraId="187134D0">
            <w:pPr>
              <w:pStyle w:val="208"/>
              <w:tabs>
                <w:tab w:val="left" w:pos="1260"/>
              </w:tabs>
              <w:spacing w:line="400" w:lineRule="exact"/>
              <w:jc w:val="center"/>
              <w:rPr>
                <w:rFonts w:hint="eastAsia" w:ascii="宋体" w:hAnsi="宋体"/>
                <w:lang w:val="en-GB"/>
              </w:rPr>
            </w:pPr>
            <w:r>
              <w:rPr>
                <w:rFonts w:hint="eastAsia" w:ascii="宋体" w:hAnsi="宋体"/>
                <w:lang w:val="en-GB"/>
              </w:rPr>
              <w:t>优先采购节能产品金额总计（元）</w:t>
            </w:r>
          </w:p>
        </w:tc>
        <w:tc>
          <w:tcPr>
            <w:tcW w:w="1477" w:type="dxa"/>
            <w:vAlign w:val="center"/>
          </w:tcPr>
          <w:p w14:paraId="42D17167">
            <w:pPr>
              <w:pStyle w:val="208"/>
              <w:tabs>
                <w:tab w:val="left" w:pos="1260"/>
              </w:tabs>
              <w:spacing w:line="400" w:lineRule="exact"/>
              <w:jc w:val="center"/>
              <w:rPr>
                <w:rFonts w:hint="eastAsia" w:ascii="宋体" w:hAnsi="宋体"/>
                <w:lang w:val="en-GB"/>
              </w:rPr>
            </w:pPr>
          </w:p>
        </w:tc>
      </w:tr>
      <w:tr w14:paraId="57D8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795B2B26">
            <w:pPr>
              <w:pStyle w:val="208"/>
              <w:tabs>
                <w:tab w:val="left" w:pos="1260"/>
              </w:tabs>
              <w:spacing w:line="400" w:lineRule="exact"/>
              <w:jc w:val="center"/>
              <w:rPr>
                <w:rFonts w:hint="eastAsia" w:ascii="宋体" w:hAnsi="宋体"/>
                <w:lang w:val="en-GB"/>
              </w:rPr>
            </w:pPr>
          </w:p>
        </w:tc>
        <w:tc>
          <w:tcPr>
            <w:tcW w:w="1900" w:type="dxa"/>
            <w:gridSpan w:val="2"/>
            <w:vAlign w:val="center"/>
          </w:tcPr>
          <w:p w14:paraId="1876A8C9">
            <w:pPr>
              <w:pStyle w:val="208"/>
              <w:tabs>
                <w:tab w:val="left" w:pos="1260"/>
              </w:tabs>
              <w:spacing w:line="400" w:lineRule="exact"/>
              <w:jc w:val="center"/>
              <w:rPr>
                <w:rFonts w:hint="eastAsia" w:ascii="宋体" w:hAnsi="宋体"/>
                <w:lang w:val="en-GB"/>
              </w:rPr>
            </w:pPr>
            <w:r>
              <w:rPr>
                <w:rFonts w:hint="eastAsia" w:ascii="宋体" w:hAnsi="宋体"/>
                <w:lang w:val="en-GB"/>
              </w:rPr>
              <w:t>2、强制采购</w:t>
            </w:r>
          </w:p>
          <w:p w14:paraId="25CC9E57">
            <w:pPr>
              <w:pStyle w:val="208"/>
              <w:tabs>
                <w:tab w:val="left" w:pos="1260"/>
              </w:tabs>
              <w:spacing w:line="400" w:lineRule="exact"/>
              <w:jc w:val="center"/>
              <w:rPr>
                <w:rFonts w:hint="eastAsia" w:ascii="宋体" w:hAnsi="宋体"/>
                <w:lang w:val="en-GB"/>
              </w:rPr>
            </w:pPr>
            <w:r>
              <w:rPr>
                <w:rFonts w:hint="eastAsia" w:ascii="宋体" w:hAnsi="宋体"/>
                <w:lang w:val="en-GB"/>
              </w:rPr>
              <w:t>产品名称</w:t>
            </w:r>
          </w:p>
        </w:tc>
        <w:tc>
          <w:tcPr>
            <w:tcW w:w="1018" w:type="dxa"/>
            <w:vAlign w:val="center"/>
          </w:tcPr>
          <w:p w14:paraId="589ED85E">
            <w:pPr>
              <w:pStyle w:val="208"/>
              <w:tabs>
                <w:tab w:val="left" w:pos="1260"/>
              </w:tabs>
              <w:spacing w:line="400" w:lineRule="exact"/>
              <w:jc w:val="center"/>
              <w:rPr>
                <w:rFonts w:hint="eastAsia" w:ascii="宋体" w:hAnsi="宋体"/>
                <w:lang w:val="en-GB"/>
              </w:rPr>
            </w:pPr>
            <w:r>
              <w:rPr>
                <w:rFonts w:hint="eastAsia" w:ascii="宋体" w:hAnsi="宋体"/>
                <w:lang w:val="en-GB"/>
              </w:rPr>
              <w:t>品牌、型号</w:t>
            </w:r>
          </w:p>
        </w:tc>
        <w:tc>
          <w:tcPr>
            <w:tcW w:w="1190" w:type="dxa"/>
            <w:vAlign w:val="center"/>
          </w:tcPr>
          <w:p w14:paraId="531E9CB9">
            <w:pPr>
              <w:pStyle w:val="208"/>
              <w:tabs>
                <w:tab w:val="left" w:pos="1260"/>
              </w:tabs>
              <w:spacing w:line="400" w:lineRule="exact"/>
              <w:jc w:val="center"/>
              <w:rPr>
                <w:rFonts w:hint="eastAsia" w:ascii="宋体" w:hAnsi="宋体"/>
                <w:lang w:val="en-GB"/>
              </w:rPr>
            </w:pPr>
            <w:r>
              <w:rPr>
                <w:rFonts w:hint="eastAsia" w:ascii="宋体" w:hAnsi="宋体"/>
                <w:lang w:val="en-GB"/>
              </w:rPr>
              <w:t>制造商</w:t>
            </w:r>
          </w:p>
        </w:tc>
        <w:tc>
          <w:tcPr>
            <w:tcW w:w="1530" w:type="dxa"/>
            <w:gridSpan w:val="2"/>
            <w:vAlign w:val="center"/>
          </w:tcPr>
          <w:p w14:paraId="4E809BEA">
            <w:pPr>
              <w:pStyle w:val="208"/>
              <w:tabs>
                <w:tab w:val="left" w:pos="1260"/>
              </w:tabs>
              <w:spacing w:line="400" w:lineRule="exact"/>
              <w:jc w:val="center"/>
              <w:rPr>
                <w:rFonts w:hint="eastAsia" w:ascii="宋体" w:hAnsi="宋体"/>
                <w:lang w:val="en-GB"/>
              </w:rPr>
            </w:pPr>
            <w:r>
              <w:rPr>
                <w:rFonts w:hint="eastAsia" w:ascii="宋体" w:hAnsi="宋体"/>
                <w:lang w:val="en-GB"/>
              </w:rPr>
              <w:t>认证证书编号</w:t>
            </w:r>
          </w:p>
        </w:tc>
        <w:tc>
          <w:tcPr>
            <w:tcW w:w="900" w:type="dxa"/>
            <w:gridSpan w:val="3"/>
            <w:vAlign w:val="center"/>
          </w:tcPr>
          <w:p w14:paraId="32791B68">
            <w:pPr>
              <w:spacing w:line="400" w:lineRule="exact"/>
              <w:jc w:val="center"/>
            </w:pPr>
            <w:r>
              <w:t>数量</w:t>
            </w:r>
          </w:p>
        </w:tc>
        <w:tc>
          <w:tcPr>
            <w:tcW w:w="913" w:type="dxa"/>
            <w:gridSpan w:val="2"/>
            <w:vAlign w:val="center"/>
          </w:tcPr>
          <w:p w14:paraId="17A327B2">
            <w:pPr>
              <w:spacing w:line="400" w:lineRule="exact"/>
              <w:jc w:val="center"/>
            </w:pPr>
            <w:r>
              <w:t>单价</w:t>
            </w:r>
            <w:r>
              <w:rPr>
                <w:rFonts w:ascii="宋体" w:hAnsi="宋体"/>
                <w:lang w:val="en-GB"/>
              </w:rPr>
              <w:t>（元）</w:t>
            </w:r>
          </w:p>
        </w:tc>
        <w:tc>
          <w:tcPr>
            <w:tcW w:w="1477" w:type="dxa"/>
            <w:vAlign w:val="center"/>
          </w:tcPr>
          <w:p w14:paraId="33AE16BE">
            <w:pPr>
              <w:pStyle w:val="208"/>
              <w:tabs>
                <w:tab w:val="left" w:pos="1260"/>
              </w:tabs>
              <w:spacing w:line="400" w:lineRule="exact"/>
              <w:jc w:val="center"/>
              <w:rPr>
                <w:rFonts w:hint="eastAsia" w:ascii="宋体" w:hAnsi="宋体"/>
                <w:lang w:val="en-GB"/>
              </w:rPr>
            </w:pPr>
            <w:r>
              <w:rPr>
                <w:rFonts w:hint="eastAsia" w:ascii="宋体" w:hAnsi="宋体"/>
                <w:lang w:val="en-GB"/>
              </w:rPr>
              <w:t>合计（元）</w:t>
            </w:r>
          </w:p>
        </w:tc>
      </w:tr>
      <w:tr w14:paraId="601E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72544AA5">
            <w:pPr>
              <w:pStyle w:val="208"/>
              <w:tabs>
                <w:tab w:val="left" w:pos="1260"/>
              </w:tabs>
              <w:spacing w:line="400" w:lineRule="exact"/>
              <w:jc w:val="center"/>
              <w:rPr>
                <w:rFonts w:hint="eastAsia" w:ascii="宋体" w:hAnsi="宋体"/>
                <w:lang w:val="en-GB"/>
              </w:rPr>
            </w:pPr>
          </w:p>
        </w:tc>
        <w:tc>
          <w:tcPr>
            <w:tcW w:w="1900" w:type="dxa"/>
            <w:gridSpan w:val="2"/>
            <w:vAlign w:val="center"/>
          </w:tcPr>
          <w:p w14:paraId="231B9E40">
            <w:pPr>
              <w:pStyle w:val="208"/>
              <w:tabs>
                <w:tab w:val="left" w:pos="1260"/>
              </w:tabs>
              <w:spacing w:line="400" w:lineRule="exact"/>
              <w:jc w:val="center"/>
              <w:rPr>
                <w:rFonts w:hint="eastAsia" w:ascii="宋体" w:hAnsi="宋体"/>
                <w:lang w:val="en-GB"/>
              </w:rPr>
            </w:pPr>
          </w:p>
        </w:tc>
        <w:tc>
          <w:tcPr>
            <w:tcW w:w="1018" w:type="dxa"/>
            <w:vAlign w:val="center"/>
          </w:tcPr>
          <w:p w14:paraId="254BFA35">
            <w:pPr>
              <w:pStyle w:val="208"/>
              <w:tabs>
                <w:tab w:val="left" w:pos="1260"/>
              </w:tabs>
              <w:spacing w:line="400" w:lineRule="exact"/>
              <w:jc w:val="center"/>
              <w:rPr>
                <w:rFonts w:hint="eastAsia" w:ascii="宋体" w:hAnsi="宋体"/>
                <w:lang w:val="en-GB"/>
              </w:rPr>
            </w:pPr>
          </w:p>
        </w:tc>
        <w:tc>
          <w:tcPr>
            <w:tcW w:w="1190" w:type="dxa"/>
            <w:vAlign w:val="center"/>
          </w:tcPr>
          <w:p w14:paraId="2C839071">
            <w:pPr>
              <w:pStyle w:val="208"/>
              <w:tabs>
                <w:tab w:val="left" w:pos="1260"/>
              </w:tabs>
              <w:spacing w:line="400" w:lineRule="exact"/>
              <w:jc w:val="center"/>
              <w:rPr>
                <w:rFonts w:hint="eastAsia" w:ascii="宋体" w:hAnsi="宋体"/>
                <w:lang w:val="en-GB"/>
              </w:rPr>
            </w:pPr>
          </w:p>
        </w:tc>
        <w:tc>
          <w:tcPr>
            <w:tcW w:w="1530" w:type="dxa"/>
            <w:gridSpan w:val="2"/>
            <w:vAlign w:val="center"/>
          </w:tcPr>
          <w:p w14:paraId="3BA8419B">
            <w:pPr>
              <w:pStyle w:val="208"/>
              <w:tabs>
                <w:tab w:val="left" w:pos="1260"/>
              </w:tabs>
              <w:spacing w:line="400" w:lineRule="exact"/>
              <w:jc w:val="center"/>
              <w:rPr>
                <w:rFonts w:hint="eastAsia" w:ascii="宋体" w:hAnsi="宋体"/>
                <w:lang w:val="en-GB"/>
              </w:rPr>
            </w:pPr>
          </w:p>
        </w:tc>
        <w:tc>
          <w:tcPr>
            <w:tcW w:w="900" w:type="dxa"/>
            <w:gridSpan w:val="3"/>
            <w:vAlign w:val="center"/>
          </w:tcPr>
          <w:p w14:paraId="5BA99B54">
            <w:pPr>
              <w:pStyle w:val="208"/>
              <w:tabs>
                <w:tab w:val="left" w:pos="1260"/>
              </w:tabs>
              <w:spacing w:line="400" w:lineRule="exact"/>
              <w:jc w:val="center"/>
              <w:rPr>
                <w:rFonts w:hint="eastAsia" w:ascii="宋体" w:hAnsi="宋体"/>
                <w:lang w:val="en-GB"/>
              </w:rPr>
            </w:pPr>
          </w:p>
        </w:tc>
        <w:tc>
          <w:tcPr>
            <w:tcW w:w="913" w:type="dxa"/>
            <w:gridSpan w:val="2"/>
            <w:vAlign w:val="center"/>
          </w:tcPr>
          <w:p w14:paraId="5FD5DF6D">
            <w:pPr>
              <w:pStyle w:val="208"/>
              <w:tabs>
                <w:tab w:val="left" w:pos="1260"/>
              </w:tabs>
              <w:spacing w:line="400" w:lineRule="exact"/>
              <w:jc w:val="center"/>
              <w:rPr>
                <w:rFonts w:hint="eastAsia" w:ascii="宋体" w:hAnsi="宋体"/>
                <w:lang w:val="en-GB"/>
              </w:rPr>
            </w:pPr>
          </w:p>
        </w:tc>
        <w:tc>
          <w:tcPr>
            <w:tcW w:w="1477" w:type="dxa"/>
            <w:vAlign w:val="center"/>
          </w:tcPr>
          <w:p w14:paraId="3B29D6E1">
            <w:pPr>
              <w:pStyle w:val="208"/>
              <w:tabs>
                <w:tab w:val="left" w:pos="1260"/>
              </w:tabs>
              <w:spacing w:line="400" w:lineRule="exact"/>
              <w:jc w:val="center"/>
              <w:rPr>
                <w:rFonts w:hint="eastAsia" w:ascii="宋体" w:hAnsi="宋体"/>
                <w:lang w:val="en-GB"/>
              </w:rPr>
            </w:pPr>
          </w:p>
        </w:tc>
      </w:tr>
      <w:tr w14:paraId="505F8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04A6FCAF">
            <w:pPr>
              <w:pStyle w:val="208"/>
              <w:tabs>
                <w:tab w:val="left" w:pos="1260"/>
              </w:tabs>
              <w:spacing w:line="400" w:lineRule="exact"/>
              <w:jc w:val="center"/>
              <w:rPr>
                <w:rFonts w:hint="eastAsia" w:ascii="宋体" w:hAnsi="宋体"/>
                <w:lang w:val="en-GB"/>
              </w:rPr>
            </w:pPr>
          </w:p>
        </w:tc>
        <w:tc>
          <w:tcPr>
            <w:tcW w:w="1900" w:type="dxa"/>
            <w:gridSpan w:val="2"/>
            <w:vAlign w:val="center"/>
          </w:tcPr>
          <w:p w14:paraId="44BF65F4">
            <w:pPr>
              <w:pStyle w:val="208"/>
              <w:tabs>
                <w:tab w:val="left" w:pos="1260"/>
              </w:tabs>
              <w:spacing w:line="400" w:lineRule="exact"/>
              <w:jc w:val="center"/>
              <w:rPr>
                <w:rFonts w:hint="eastAsia" w:ascii="宋体" w:hAnsi="宋体"/>
                <w:lang w:val="en-GB"/>
              </w:rPr>
            </w:pPr>
          </w:p>
        </w:tc>
        <w:tc>
          <w:tcPr>
            <w:tcW w:w="1018" w:type="dxa"/>
            <w:vAlign w:val="center"/>
          </w:tcPr>
          <w:p w14:paraId="07C4FE97">
            <w:pPr>
              <w:pStyle w:val="208"/>
              <w:tabs>
                <w:tab w:val="left" w:pos="1260"/>
              </w:tabs>
              <w:spacing w:line="400" w:lineRule="exact"/>
              <w:jc w:val="center"/>
              <w:rPr>
                <w:rFonts w:hint="eastAsia" w:ascii="宋体" w:hAnsi="宋体"/>
                <w:lang w:val="en-GB"/>
              </w:rPr>
            </w:pPr>
          </w:p>
        </w:tc>
        <w:tc>
          <w:tcPr>
            <w:tcW w:w="1190" w:type="dxa"/>
            <w:vAlign w:val="center"/>
          </w:tcPr>
          <w:p w14:paraId="55F86506">
            <w:pPr>
              <w:pStyle w:val="208"/>
              <w:tabs>
                <w:tab w:val="left" w:pos="1260"/>
              </w:tabs>
              <w:spacing w:line="400" w:lineRule="exact"/>
              <w:jc w:val="center"/>
              <w:rPr>
                <w:rFonts w:hint="eastAsia" w:ascii="宋体" w:hAnsi="宋体"/>
                <w:lang w:val="en-GB"/>
              </w:rPr>
            </w:pPr>
          </w:p>
        </w:tc>
        <w:tc>
          <w:tcPr>
            <w:tcW w:w="1530" w:type="dxa"/>
            <w:gridSpan w:val="2"/>
            <w:vAlign w:val="center"/>
          </w:tcPr>
          <w:p w14:paraId="13E005F6">
            <w:pPr>
              <w:pStyle w:val="208"/>
              <w:tabs>
                <w:tab w:val="left" w:pos="1260"/>
              </w:tabs>
              <w:spacing w:line="400" w:lineRule="exact"/>
              <w:jc w:val="center"/>
              <w:rPr>
                <w:rFonts w:hint="eastAsia" w:ascii="宋体" w:hAnsi="宋体"/>
                <w:lang w:val="en-GB"/>
              </w:rPr>
            </w:pPr>
          </w:p>
        </w:tc>
        <w:tc>
          <w:tcPr>
            <w:tcW w:w="900" w:type="dxa"/>
            <w:gridSpan w:val="3"/>
            <w:vAlign w:val="center"/>
          </w:tcPr>
          <w:p w14:paraId="409DF798">
            <w:pPr>
              <w:pStyle w:val="208"/>
              <w:tabs>
                <w:tab w:val="left" w:pos="1260"/>
              </w:tabs>
              <w:spacing w:line="400" w:lineRule="exact"/>
              <w:jc w:val="center"/>
              <w:rPr>
                <w:rFonts w:hint="eastAsia" w:ascii="宋体" w:hAnsi="宋体"/>
                <w:lang w:val="en-GB"/>
              </w:rPr>
            </w:pPr>
          </w:p>
        </w:tc>
        <w:tc>
          <w:tcPr>
            <w:tcW w:w="913" w:type="dxa"/>
            <w:gridSpan w:val="2"/>
            <w:vAlign w:val="center"/>
          </w:tcPr>
          <w:p w14:paraId="588868C3">
            <w:pPr>
              <w:pStyle w:val="208"/>
              <w:tabs>
                <w:tab w:val="left" w:pos="1260"/>
              </w:tabs>
              <w:spacing w:line="400" w:lineRule="exact"/>
              <w:jc w:val="center"/>
              <w:rPr>
                <w:rFonts w:hint="eastAsia" w:ascii="宋体" w:hAnsi="宋体"/>
                <w:lang w:val="en-GB"/>
              </w:rPr>
            </w:pPr>
          </w:p>
        </w:tc>
        <w:tc>
          <w:tcPr>
            <w:tcW w:w="1477" w:type="dxa"/>
            <w:vAlign w:val="center"/>
          </w:tcPr>
          <w:p w14:paraId="4F539D9E">
            <w:pPr>
              <w:pStyle w:val="208"/>
              <w:tabs>
                <w:tab w:val="left" w:pos="1260"/>
              </w:tabs>
              <w:spacing w:line="400" w:lineRule="exact"/>
              <w:jc w:val="center"/>
              <w:rPr>
                <w:rFonts w:hint="eastAsia" w:ascii="宋体" w:hAnsi="宋体"/>
                <w:lang w:val="en-GB"/>
              </w:rPr>
            </w:pPr>
          </w:p>
        </w:tc>
      </w:tr>
      <w:tr w14:paraId="77BB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2B3E48DF">
            <w:pPr>
              <w:pStyle w:val="208"/>
              <w:tabs>
                <w:tab w:val="left" w:pos="1260"/>
              </w:tabs>
              <w:spacing w:line="400" w:lineRule="exact"/>
              <w:jc w:val="center"/>
              <w:rPr>
                <w:rFonts w:hint="eastAsia" w:ascii="宋体" w:hAnsi="宋体"/>
                <w:lang w:val="en-GB"/>
              </w:rPr>
            </w:pPr>
          </w:p>
        </w:tc>
        <w:tc>
          <w:tcPr>
            <w:tcW w:w="7451" w:type="dxa"/>
            <w:gridSpan w:val="11"/>
            <w:vAlign w:val="center"/>
          </w:tcPr>
          <w:p w14:paraId="261D7677">
            <w:pPr>
              <w:pStyle w:val="208"/>
              <w:tabs>
                <w:tab w:val="left" w:pos="1260"/>
              </w:tabs>
              <w:spacing w:line="400" w:lineRule="exact"/>
              <w:jc w:val="center"/>
              <w:rPr>
                <w:rFonts w:hint="eastAsia" w:ascii="宋体" w:hAnsi="宋体"/>
                <w:lang w:val="en-GB"/>
              </w:rPr>
            </w:pPr>
            <w:r>
              <w:rPr>
                <w:rFonts w:hint="eastAsia" w:ascii="宋体" w:hAnsi="宋体"/>
                <w:lang w:val="en-GB"/>
              </w:rPr>
              <w:t>强制采购节能产品金额总计（元）</w:t>
            </w:r>
          </w:p>
        </w:tc>
        <w:tc>
          <w:tcPr>
            <w:tcW w:w="1477" w:type="dxa"/>
            <w:vAlign w:val="center"/>
          </w:tcPr>
          <w:p w14:paraId="3AC96F85">
            <w:pPr>
              <w:pStyle w:val="208"/>
              <w:tabs>
                <w:tab w:val="left" w:pos="1260"/>
              </w:tabs>
              <w:spacing w:line="400" w:lineRule="exact"/>
              <w:jc w:val="center"/>
              <w:rPr>
                <w:rFonts w:hint="eastAsia" w:ascii="宋体" w:hAnsi="宋体"/>
                <w:lang w:val="en-GB"/>
              </w:rPr>
            </w:pPr>
          </w:p>
        </w:tc>
      </w:tr>
      <w:tr w14:paraId="04840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24" w:type="dxa"/>
            <w:vMerge w:val="restart"/>
            <w:vAlign w:val="center"/>
          </w:tcPr>
          <w:p w14:paraId="24C00928">
            <w:pPr>
              <w:pStyle w:val="208"/>
              <w:tabs>
                <w:tab w:val="left" w:pos="1260"/>
              </w:tabs>
              <w:spacing w:line="400" w:lineRule="exact"/>
              <w:jc w:val="center"/>
              <w:rPr>
                <w:rFonts w:hint="eastAsia" w:ascii="宋体" w:hAnsi="宋体"/>
                <w:lang w:val="en-GB"/>
              </w:rPr>
            </w:pPr>
            <w:r>
              <w:rPr>
                <w:rFonts w:hint="eastAsia" w:ascii="宋体" w:hAnsi="宋体"/>
                <w:lang w:val="en-GB"/>
              </w:rPr>
              <w:t>环境标志产品</w:t>
            </w:r>
          </w:p>
        </w:tc>
        <w:tc>
          <w:tcPr>
            <w:tcW w:w="1890" w:type="dxa"/>
            <w:vAlign w:val="center"/>
          </w:tcPr>
          <w:p w14:paraId="5E390428">
            <w:pPr>
              <w:pStyle w:val="208"/>
              <w:tabs>
                <w:tab w:val="left" w:pos="1260"/>
              </w:tabs>
              <w:spacing w:line="400" w:lineRule="exact"/>
              <w:jc w:val="center"/>
              <w:rPr>
                <w:rFonts w:hint="eastAsia" w:ascii="宋体" w:hAnsi="宋体"/>
                <w:lang w:val="en-GB"/>
              </w:rPr>
            </w:pPr>
            <w:r>
              <w:rPr>
                <w:rFonts w:hint="eastAsia" w:ascii="宋体" w:hAnsi="宋体"/>
                <w:lang w:val="en-GB"/>
              </w:rPr>
              <w:t>产品名称</w:t>
            </w:r>
          </w:p>
        </w:tc>
        <w:tc>
          <w:tcPr>
            <w:tcW w:w="1028" w:type="dxa"/>
            <w:gridSpan w:val="2"/>
            <w:vAlign w:val="center"/>
          </w:tcPr>
          <w:p w14:paraId="0AC15B7B">
            <w:pPr>
              <w:pStyle w:val="208"/>
              <w:tabs>
                <w:tab w:val="left" w:pos="1260"/>
              </w:tabs>
              <w:spacing w:line="400" w:lineRule="exact"/>
              <w:jc w:val="center"/>
              <w:rPr>
                <w:rFonts w:hint="eastAsia" w:ascii="宋体" w:hAnsi="宋体"/>
                <w:lang w:val="en-GB"/>
              </w:rPr>
            </w:pPr>
            <w:r>
              <w:rPr>
                <w:rFonts w:hint="eastAsia" w:ascii="宋体" w:hAnsi="宋体"/>
                <w:lang w:val="en-GB"/>
              </w:rPr>
              <w:t>品牌、型号</w:t>
            </w:r>
          </w:p>
        </w:tc>
        <w:tc>
          <w:tcPr>
            <w:tcW w:w="1190" w:type="dxa"/>
            <w:vAlign w:val="center"/>
          </w:tcPr>
          <w:p w14:paraId="3B32313A">
            <w:pPr>
              <w:pStyle w:val="208"/>
              <w:tabs>
                <w:tab w:val="left" w:pos="1260"/>
              </w:tabs>
              <w:spacing w:line="400" w:lineRule="exact"/>
              <w:jc w:val="center"/>
              <w:rPr>
                <w:rFonts w:hint="eastAsia" w:ascii="宋体" w:hAnsi="宋体"/>
                <w:lang w:val="en-GB"/>
              </w:rPr>
            </w:pPr>
            <w:r>
              <w:rPr>
                <w:rFonts w:hint="eastAsia" w:ascii="宋体" w:hAnsi="宋体"/>
                <w:lang w:val="en-GB"/>
              </w:rPr>
              <w:t>制造商</w:t>
            </w:r>
          </w:p>
        </w:tc>
        <w:tc>
          <w:tcPr>
            <w:tcW w:w="1570" w:type="dxa"/>
            <w:gridSpan w:val="3"/>
            <w:vAlign w:val="center"/>
          </w:tcPr>
          <w:p w14:paraId="4A25C246">
            <w:pPr>
              <w:pStyle w:val="208"/>
              <w:tabs>
                <w:tab w:val="left" w:pos="1260"/>
              </w:tabs>
              <w:spacing w:line="400" w:lineRule="exact"/>
              <w:jc w:val="center"/>
              <w:rPr>
                <w:rFonts w:hint="eastAsia" w:ascii="宋体" w:hAnsi="宋体"/>
                <w:lang w:val="en-GB"/>
              </w:rPr>
            </w:pPr>
            <w:r>
              <w:rPr>
                <w:rFonts w:hint="eastAsia" w:ascii="宋体" w:hAnsi="宋体"/>
                <w:lang w:val="en-GB"/>
              </w:rPr>
              <w:t>认证证书编号</w:t>
            </w:r>
          </w:p>
        </w:tc>
        <w:tc>
          <w:tcPr>
            <w:tcW w:w="870" w:type="dxa"/>
            <w:gridSpan w:val="3"/>
            <w:vAlign w:val="center"/>
          </w:tcPr>
          <w:p w14:paraId="044F1C9B">
            <w:pPr>
              <w:spacing w:line="400" w:lineRule="exact"/>
              <w:jc w:val="center"/>
            </w:pPr>
            <w:r>
              <w:t>数量</w:t>
            </w:r>
          </w:p>
        </w:tc>
        <w:tc>
          <w:tcPr>
            <w:tcW w:w="903" w:type="dxa"/>
            <w:vAlign w:val="center"/>
          </w:tcPr>
          <w:p w14:paraId="6D025DC1">
            <w:pPr>
              <w:spacing w:line="400" w:lineRule="exact"/>
              <w:jc w:val="center"/>
            </w:pPr>
            <w:r>
              <w:t>单价</w:t>
            </w:r>
            <w:r>
              <w:rPr>
                <w:rFonts w:ascii="宋体" w:hAnsi="宋体"/>
                <w:lang w:val="en-GB"/>
              </w:rPr>
              <w:t>（元）</w:t>
            </w:r>
          </w:p>
        </w:tc>
        <w:tc>
          <w:tcPr>
            <w:tcW w:w="1477" w:type="dxa"/>
            <w:vAlign w:val="center"/>
          </w:tcPr>
          <w:p w14:paraId="25BF9F19">
            <w:pPr>
              <w:pStyle w:val="208"/>
              <w:tabs>
                <w:tab w:val="left" w:pos="1260"/>
              </w:tabs>
              <w:spacing w:line="400" w:lineRule="exact"/>
              <w:jc w:val="center"/>
              <w:rPr>
                <w:rFonts w:hint="eastAsia" w:ascii="宋体" w:hAnsi="宋体"/>
                <w:lang w:val="en-GB"/>
              </w:rPr>
            </w:pPr>
            <w:r>
              <w:rPr>
                <w:rFonts w:hint="eastAsia" w:ascii="宋体" w:hAnsi="宋体"/>
                <w:lang w:val="en-GB"/>
              </w:rPr>
              <w:t>合计（元）</w:t>
            </w:r>
          </w:p>
        </w:tc>
      </w:tr>
      <w:tr w14:paraId="60481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64BDE9C0">
            <w:pPr>
              <w:pStyle w:val="208"/>
              <w:tabs>
                <w:tab w:val="left" w:pos="1260"/>
              </w:tabs>
              <w:spacing w:line="400" w:lineRule="exact"/>
              <w:jc w:val="center"/>
              <w:rPr>
                <w:rFonts w:hint="eastAsia" w:ascii="宋体" w:hAnsi="宋体"/>
                <w:lang w:val="en-GB"/>
              </w:rPr>
            </w:pPr>
          </w:p>
        </w:tc>
        <w:tc>
          <w:tcPr>
            <w:tcW w:w="1890" w:type="dxa"/>
            <w:vAlign w:val="center"/>
          </w:tcPr>
          <w:p w14:paraId="670FFC8E">
            <w:pPr>
              <w:pStyle w:val="208"/>
              <w:tabs>
                <w:tab w:val="left" w:pos="1260"/>
              </w:tabs>
              <w:spacing w:line="400" w:lineRule="exact"/>
              <w:jc w:val="center"/>
              <w:rPr>
                <w:rFonts w:hint="eastAsia" w:ascii="宋体" w:hAnsi="宋体"/>
                <w:lang w:val="en-GB"/>
              </w:rPr>
            </w:pPr>
          </w:p>
        </w:tc>
        <w:tc>
          <w:tcPr>
            <w:tcW w:w="1028" w:type="dxa"/>
            <w:gridSpan w:val="2"/>
            <w:vAlign w:val="center"/>
          </w:tcPr>
          <w:p w14:paraId="4D8BDCF1">
            <w:pPr>
              <w:pStyle w:val="208"/>
              <w:tabs>
                <w:tab w:val="left" w:pos="1260"/>
              </w:tabs>
              <w:spacing w:line="400" w:lineRule="exact"/>
              <w:jc w:val="center"/>
              <w:rPr>
                <w:rFonts w:hint="eastAsia" w:ascii="宋体" w:hAnsi="宋体"/>
                <w:lang w:val="en-GB"/>
              </w:rPr>
            </w:pPr>
          </w:p>
        </w:tc>
        <w:tc>
          <w:tcPr>
            <w:tcW w:w="1190" w:type="dxa"/>
            <w:vAlign w:val="center"/>
          </w:tcPr>
          <w:p w14:paraId="140BDFDB">
            <w:pPr>
              <w:pStyle w:val="208"/>
              <w:tabs>
                <w:tab w:val="left" w:pos="1260"/>
              </w:tabs>
              <w:spacing w:line="400" w:lineRule="exact"/>
              <w:jc w:val="center"/>
              <w:rPr>
                <w:rFonts w:hint="eastAsia" w:ascii="宋体" w:hAnsi="宋体"/>
                <w:lang w:val="en-GB"/>
              </w:rPr>
            </w:pPr>
          </w:p>
        </w:tc>
        <w:tc>
          <w:tcPr>
            <w:tcW w:w="1570" w:type="dxa"/>
            <w:gridSpan w:val="3"/>
            <w:vAlign w:val="center"/>
          </w:tcPr>
          <w:p w14:paraId="2523AA95">
            <w:pPr>
              <w:pStyle w:val="208"/>
              <w:tabs>
                <w:tab w:val="left" w:pos="1260"/>
              </w:tabs>
              <w:spacing w:line="400" w:lineRule="exact"/>
              <w:jc w:val="center"/>
              <w:rPr>
                <w:rFonts w:hint="eastAsia" w:ascii="宋体" w:hAnsi="宋体"/>
                <w:lang w:val="en-GB"/>
              </w:rPr>
            </w:pPr>
          </w:p>
        </w:tc>
        <w:tc>
          <w:tcPr>
            <w:tcW w:w="870" w:type="dxa"/>
            <w:gridSpan w:val="3"/>
            <w:vAlign w:val="center"/>
          </w:tcPr>
          <w:p w14:paraId="20A37974">
            <w:pPr>
              <w:pStyle w:val="208"/>
              <w:tabs>
                <w:tab w:val="left" w:pos="1260"/>
              </w:tabs>
              <w:spacing w:line="400" w:lineRule="exact"/>
              <w:jc w:val="center"/>
              <w:rPr>
                <w:rFonts w:hint="eastAsia" w:ascii="宋体" w:hAnsi="宋体"/>
                <w:lang w:val="en-GB"/>
              </w:rPr>
            </w:pPr>
          </w:p>
        </w:tc>
        <w:tc>
          <w:tcPr>
            <w:tcW w:w="903" w:type="dxa"/>
            <w:vAlign w:val="center"/>
          </w:tcPr>
          <w:p w14:paraId="22CE93BE">
            <w:pPr>
              <w:pStyle w:val="208"/>
              <w:tabs>
                <w:tab w:val="left" w:pos="1260"/>
              </w:tabs>
              <w:spacing w:line="400" w:lineRule="exact"/>
              <w:jc w:val="center"/>
              <w:rPr>
                <w:rFonts w:hint="eastAsia" w:ascii="宋体" w:hAnsi="宋体"/>
                <w:lang w:val="en-GB"/>
              </w:rPr>
            </w:pPr>
          </w:p>
        </w:tc>
        <w:tc>
          <w:tcPr>
            <w:tcW w:w="1477" w:type="dxa"/>
            <w:vAlign w:val="center"/>
          </w:tcPr>
          <w:p w14:paraId="3462CC23">
            <w:pPr>
              <w:pStyle w:val="208"/>
              <w:tabs>
                <w:tab w:val="left" w:pos="1260"/>
              </w:tabs>
              <w:spacing w:line="400" w:lineRule="exact"/>
              <w:jc w:val="center"/>
              <w:rPr>
                <w:rFonts w:hint="eastAsia" w:ascii="宋体" w:hAnsi="宋体"/>
                <w:lang w:val="en-GB"/>
              </w:rPr>
            </w:pPr>
          </w:p>
        </w:tc>
      </w:tr>
      <w:tr w14:paraId="7BEF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633FBDB5">
            <w:pPr>
              <w:pStyle w:val="208"/>
              <w:tabs>
                <w:tab w:val="left" w:pos="1260"/>
              </w:tabs>
              <w:spacing w:line="400" w:lineRule="exact"/>
              <w:jc w:val="center"/>
              <w:rPr>
                <w:rFonts w:hint="eastAsia" w:ascii="宋体" w:hAnsi="宋体"/>
                <w:lang w:val="en-GB"/>
              </w:rPr>
            </w:pPr>
          </w:p>
        </w:tc>
        <w:tc>
          <w:tcPr>
            <w:tcW w:w="1890" w:type="dxa"/>
            <w:vAlign w:val="center"/>
          </w:tcPr>
          <w:p w14:paraId="2DE621EA">
            <w:pPr>
              <w:pStyle w:val="208"/>
              <w:tabs>
                <w:tab w:val="left" w:pos="1260"/>
              </w:tabs>
              <w:spacing w:line="400" w:lineRule="exact"/>
              <w:jc w:val="center"/>
              <w:rPr>
                <w:rFonts w:hint="eastAsia" w:ascii="宋体" w:hAnsi="宋体"/>
                <w:lang w:val="en-GB"/>
              </w:rPr>
            </w:pPr>
          </w:p>
        </w:tc>
        <w:tc>
          <w:tcPr>
            <w:tcW w:w="1028" w:type="dxa"/>
            <w:gridSpan w:val="2"/>
            <w:vAlign w:val="center"/>
          </w:tcPr>
          <w:p w14:paraId="7BFBC7C8">
            <w:pPr>
              <w:pStyle w:val="208"/>
              <w:tabs>
                <w:tab w:val="left" w:pos="1260"/>
              </w:tabs>
              <w:spacing w:line="400" w:lineRule="exact"/>
              <w:jc w:val="center"/>
              <w:rPr>
                <w:rFonts w:hint="eastAsia" w:ascii="宋体" w:hAnsi="宋体"/>
                <w:lang w:val="en-GB"/>
              </w:rPr>
            </w:pPr>
          </w:p>
        </w:tc>
        <w:tc>
          <w:tcPr>
            <w:tcW w:w="1190" w:type="dxa"/>
            <w:vAlign w:val="center"/>
          </w:tcPr>
          <w:p w14:paraId="78E2EDF9">
            <w:pPr>
              <w:pStyle w:val="208"/>
              <w:tabs>
                <w:tab w:val="left" w:pos="1260"/>
              </w:tabs>
              <w:spacing w:line="400" w:lineRule="exact"/>
              <w:jc w:val="center"/>
              <w:rPr>
                <w:rFonts w:hint="eastAsia" w:ascii="宋体" w:hAnsi="宋体"/>
                <w:lang w:val="en-GB"/>
              </w:rPr>
            </w:pPr>
          </w:p>
        </w:tc>
        <w:tc>
          <w:tcPr>
            <w:tcW w:w="1570" w:type="dxa"/>
            <w:gridSpan w:val="3"/>
            <w:vAlign w:val="center"/>
          </w:tcPr>
          <w:p w14:paraId="53196643">
            <w:pPr>
              <w:pStyle w:val="208"/>
              <w:tabs>
                <w:tab w:val="left" w:pos="1260"/>
              </w:tabs>
              <w:spacing w:line="400" w:lineRule="exact"/>
              <w:jc w:val="center"/>
              <w:rPr>
                <w:rFonts w:hint="eastAsia" w:ascii="宋体" w:hAnsi="宋体"/>
                <w:lang w:val="en-GB"/>
              </w:rPr>
            </w:pPr>
          </w:p>
        </w:tc>
        <w:tc>
          <w:tcPr>
            <w:tcW w:w="870" w:type="dxa"/>
            <w:gridSpan w:val="3"/>
            <w:vAlign w:val="center"/>
          </w:tcPr>
          <w:p w14:paraId="3A5CAABD">
            <w:pPr>
              <w:pStyle w:val="208"/>
              <w:tabs>
                <w:tab w:val="left" w:pos="1260"/>
              </w:tabs>
              <w:spacing w:line="400" w:lineRule="exact"/>
              <w:jc w:val="center"/>
              <w:rPr>
                <w:rFonts w:hint="eastAsia" w:ascii="宋体" w:hAnsi="宋体"/>
                <w:lang w:val="en-GB"/>
              </w:rPr>
            </w:pPr>
          </w:p>
        </w:tc>
        <w:tc>
          <w:tcPr>
            <w:tcW w:w="903" w:type="dxa"/>
            <w:vAlign w:val="center"/>
          </w:tcPr>
          <w:p w14:paraId="54CE1E2E">
            <w:pPr>
              <w:pStyle w:val="208"/>
              <w:tabs>
                <w:tab w:val="left" w:pos="1260"/>
              </w:tabs>
              <w:spacing w:line="400" w:lineRule="exact"/>
              <w:jc w:val="center"/>
              <w:rPr>
                <w:rFonts w:hint="eastAsia" w:ascii="宋体" w:hAnsi="宋体"/>
                <w:lang w:val="en-GB"/>
              </w:rPr>
            </w:pPr>
          </w:p>
        </w:tc>
        <w:tc>
          <w:tcPr>
            <w:tcW w:w="1477" w:type="dxa"/>
            <w:vAlign w:val="center"/>
          </w:tcPr>
          <w:p w14:paraId="29A6F1F6">
            <w:pPr>
              <w:pStyle w:val="208"/>
              <w:tabs>
                <w:tab w:val="left" w:pos="1260"/>
              </w:tabs>
              <w:spacing w:line="400" w:lineRule="exact"/>
              <w:jc w:val="center"/>
              <w:rPr>
                <w:rFonts w:hint="eastAsia" w:ascii="宋体" w:hAnsi="宋体"/>
                <w:lang w:val="en-GB"/>
              </w:rPr>
            </w:pPr>
          </w:p>
        </w:tc>
      </w:tr>
      <w:tr w14:paraId="697A0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24" w:type="dxa"/>
            <w:vMerge w:val="continue"/>
            <w:vAlign w:val="center"/>
          </w:tcPr>
          <w:p w14:paraId="6682E7D8">
            <w:pPr>
              <w:pStyle w:val="208"/>
              <w:tabs>
                <w:tab w:val="left" w:pos="1260"/>
              </w:tabs>
              <w:spacing w:line="400" w:lineRule="exact"/>
              <w:jc w:val="center"/>
              <w:rPr>
                <w:rFonts w:hint="eastAsia" w:ascii="宋体" w:hAnsi="宋体"/>
                <w:lang w:val="en-GB"/>
              </w:rPr>
            </w:pPr>
          </w:p>
        </w:tc>
        <w:tc>
          <w:tcPr>
            <w:tcW w:w="7451" w:type="dxa"/>
            <w:gridSpan w:val="11"/>
            <w:vAlign w:val="center"/>
          </w:tcPr>
          <w:p w14:paraId="469CDC34">
            <w:pPr>
              <w:pStyle w:val="208"/>
              <w:tabs>
                <w:tab w:val="left" w:pos="1260"/>
              </w:tabs>
              <w:spacing w:line="400" w:lineRule="exact"/>
              <w:jc w:val="center"/>
              <w:rPr>
                <w:rFonts w:hint="eastAsia" w:ascii="宋体" w:hAnsi="宋体"/>
                <w:lang w:val="en-GB"/>
              </w:rPr>
            </w:pPr>
            <w:r>
              <w:rPr>
                <w:rFonts w:hint="eastAsia" w:ascii="宋体" w:hAnsi="宋体"/>
                <w:lang w:val="en-GB"/>
              </w:rPr>
              <w:t>环境标志产品金额总计（元）</w:t>
            </w:r>
          </w:p>
        </w:tc>
        <w:tc>
          <w:tcPr>
            <w:tcW w:w="1477" w:type="dxa"/>
            <w:vAlign w:val="center"/>
          </w:tcPr>
          <w:p w14:paraId="3002511A">
            <w:pPr>
              <w:pStyle w:val="208"/>
              <w:tabs>
                <w:tab w:val="left" w:pos="1260"/>
              </w:tabs>
              <w:spacing w:line="400" w:lineRule="exact"/>
              <w:jc w:val="center"/>
              <w:rPr>
                <w:rFonts w:hint="eastAsia" w:ascii="宋体" w:hAnsi="宋体"/>
                <w:lang w:val="en-GB"/>
              </w:rPr>
            </w:pPr>
          </w:p>
        </w:tc>
      </w:tr>
    </w:tbl>
    <w:p w14:paraId="4A2DC6EF">
      <w:pPr>
        <w:spacing w:after="0" w:line="240" w:lineRule="auto"/>
        <w:ind w:left="561"/>
        <w:rPr>
          <w:rFonts w:hint="default" w:ascii="仿宋_GB2312" w:hAnsi="Times New Roman" w:eastAsia="仿宋_GB2312" w:cs="Times New Roman"/>
          <w:b/>
          <w:color w:val="auto"/>
          <w:sz w:val="28"/>
          <w:szCs w:val="28"/>
          <w:lang w:val="en-GB" w:eastAsia="zh-CN"/>
        </w:rPr>
      </w:pPr>
      <w:r>
        <w:rPr>
          <w:rFonts w:ascii="仿宋_GB2312" w:hAnsi="Times New Roman" w:eastAsia="仿宋_GB2312" w:cs="Times New Roman"/>
          <w:b/>
          <w:color w:val="auto"/>
          <w:sz w:val="28"/>
          <w:szCs w:val="28"/>
          <w:lang w:val="en-GB" w:eastAsia="zh-CN"/>
        </w:rPr>
        <w:t>（后附相关认证证书）</w:t>
      </w:r>
    </w:p>
    <w:p w14:paraId="628C0A23">
      <w:pPr>
        <w:pStyle w:val="12"/>
        <w:ind w:left="278"/>
        <w:rPr>
          <w:lang w:val="en-GB" w:eastAsia="zh-CN"/>
        </w:rPr>
      </w:pPr>
    </w:p>
    <w:p w14:paraId="3367166C">
      <w:pPr>
        <w:spacing w:after="0" w:line="360" w:lineRule="auto"/>
        <w:ind w:firstLine="482" w:firstLineChars="200"/>
        <w:rPr>
          <w:rFonts w:hint="default" w:ascii="仿宋_GB2312" w:hAnsi="Times New Roman" w:eastAsia="仿宋_GB2312" w:cs="Times New Roman"/>
          <w:b/>
          <w:color w:val="auto"/>
          <w:sz w:val="24"/>
          <w:szCs w:val="24"/>
          <w:lang w:val="en-GB" w:eastAsia="zh-CN"/>
        </w:rPr>
      </w:pPr>
      <w:r>
        <w:rPr>
          <w:rFonts w:ascii="仿宋_GB2312" w:hAnsi="Times New Roman" w:eastAsia="仿宋_GB2312" w:cs="Times New Roman"/>
          <w:b/>
          <w:color w:val="auto"/>
          <w:sz w:val="24"/>
          <w:szCs w:val="24"/>
          <w:lang w:val="en-GB" w:eastAsia="zh-CN"/>
        </w:rPr>
        <w:t>填报要求：</w:t>
      </w:r>
    </w:p>
    <w:p w14:paraId="4D6C79C0">
      <w:pPr>
        <w:spacing w:after="0" w:line="360" w:lineRule="auto"/>
        <w:ind w:firstLine="482" w:firstLineChars="200"/>
        <w:rPr>
          <w:rFonts w:hint="default" w:ascii="仿宋_GB2312" w:hAnsi="Times New Roman" w:eastAsia="仿宋_GB2312" w:cs="Times New Roman"/>
          <w:b/>
          <w:color w:val="auto"/>
          <w:sz w:val="24"/>
          <w:szCs w:val="24"/>
          <w:lang w:val="en-GB" w:eastAsia="zh-CN"/>
        </w:rPr>
      </w:pPr>
      <w:r>
        <w:rPr>
          <w:rFonts w:ascii="仿宋_GB2312" w:hAnsi="Times New Roman" w:eastAsia="仿宋_GB2312" w:cs="Times New Roman"/>
          <w:b/>
          <w:color w:val="auto"/>
          <w:sz w:val="24"/>
          <w:szCs w:val="24"/>
          <w:lang w:val="en-US" w:eastAsia="zh-CN"/>
        </w:rPr>
        <w:t>1</w:t>
      </w:r>
      <w:r>
        <w:rPr>
          <w:rFonts w:ascii="仿宋_GB2312" w:hAnsi="Times New Roman" w:eastAsia="仿宋_GB2312" w:cs="Times New Roman"/>
          <w:b/>
          <w:color w:val="auto"/>
          <w:sz w:val="24"/>
          <w:szCs w:val="24"/>
          <w:lang w:val="en-GB" w:eastAsia="zh-CN"/>
        </w:rPr>
        <w:t>、请根据招标文件“第六章项目需求及技术要求”要求的节能产品类型、环境标志产品类型，填写本表。</w:t>
      </w:r>
    </w:p>
    <w:p w14:paraId="2031B96C">
      <w:pPr>
        <w:spacing w:after="0" w:line="360" w:lineRule="auto"/>
        <w:ind w:firstLine="482" w:firstLineChars="200"/>
        <w:rPr>
          <w:rFonts w:hint="default" w:ascii="仿宋_GB2312" w:hAnsi="Times New Roman" w:eastAsia="仿宋_GB2312" w:cs="Times New Roman"/>
          <w:b/>
          <w:color w:val="auto"/>
          <w:sz w:val="24"/>
          <w:szCs w:val="24"/>
          <w:lang w:val="en-GB" w:eastAsia="zh-CN"/>
        </w:rPr>
      </w:pPr>
      <w:r>
        <w:rPr>
          <w:rFonts w:ascii="仿宋_GB2312" w:hAnsi="Times New Roman" w:eastAsia="仿宋_GB2312" w:cs="Times New Roman"/>
          <w:b/>
          <w:color w:val="auto"/>
          <w:sz w:val="24"/>
          <w:szCs w:val="24"/>
          <w:lang w:val="en-US" w:eastAsia="zh-CN"/>
        </w:rPr>
        <w:t>2</w:t>
      </w:r>
      <w:r>
        <w:rPr>
          <w:rFonts w:ascii="仿宋_GB2312" w:hAnsi="Times New Roman" w:eastAsia="仿宋_GB2312" w:cs="Times New Roman"/>
          <w:b/>
          <w:color w:val="auto"/>
          <w:sz w:val="24"/>
          <w:szCs w:val="24"/>
          <w:lang w:val="en-GB" w:eastAsia="zh-CN"/>
        </w:rPr>
        <w:t>、本表的产品名称和品牌、型号、金额应与《投标分项报价表》一致。</w:t>
      </w:r>
    </w:p>
    <w:p w14:paraId="77336EC2">
      <w:pPr>
        <w:spacing w:after="0" w:line="360" w:lineRule="auto"/>
        <w:ind w:firstLine="482" w:firstLineChars="200"/>
        <w:rPr>
          <w:rFonts w:hint="default" w:ascii="仿宋_GB2312" w:hAnsi="Times New Roman" w:eastAsia="仿宋_GB2312" w:cs="Times New Roman"/>
          <w:b/>
          <w:color w:val="auto"/>
          <w:sz w:val="24"/>
          <w:szCs w:val="24"/>
          <w:lang w:val="en-GB" w:eastAsia="zh-CN"/>
        </w:rPr>
      </w:pPr>
      <w:r>
        <w:rPr>
          <w:rFonts w:ascii="仿宋_GB2312" w:hAnsi="Times New Roman" w:eastAsia="仿宋_GB2312" w:cs="Times New Roman"/>
          <w:b/>
          <w:color w:val="auto"/>
          <w:sz w:val="24"/>
          <w:szCs w:val="24"/>
          <w:lang w:val="en-US" w:eastAsia="zh-CN"/>
        </w:rPr>
        <w:t>3、</w:t>
      </w:r>
      <w:r>
        <w:rPr>
          <w:rFonts w:ascii="仿宋_GB2312" w:hAnsi="Times New Roman" w:eastAsia="仿宋_GB2312" w:cs="Times New Roman"/>
          <w:b/>
          <w:color w:val="auto"/>
          <w:sz w:val="24"/>
          <w:szCs w:val="24"/>
          <w:lang w:val="en-GB" w:eastAsia="zh-CN"/>
        </w:rPr>
        <w:t>请投标人正确填写本表，所填内容和后附的证明资料将作为评审的依据。其内容或数据应与对应的证明资料相符。未填写或未正确填写本表的，所提供的对应节能、环保证明资料不予认可。</w:t>
      </w:r>
    </w:p>
    <w:p w14:paraId="2C873BF9">
      <w:pPr>
        <w:spacing w:after="0" w:line="360" w:lineRule="auto"/>
        <w:ind w:firstLine="482" w:firstLineChars="200"/>
        <w:rPr>
          <w:rFonts w:hint="default" w:ascii="仿宋_GB2312" w:hAnsi="Times New Roman" w:eastAsia="仿宋_GB2312" w:cs="Times New Roman"/>
          <w:b/>
          <w:color w:val="auto"/>
          <w:sz w:val="24"/>
          <w:szCs w:val="24"/>
          <w:lang w:eastAsia="zh-CN"/>
        </w:rPr>
      </w:pPr>
      <w:r>
        <w:rPr>
          <w:rFonts w:ascii="仿宋_GB2312" w:hAnsi="Times New Roman" w:eastAsia="仿宋_GB2312" w:cs="Times New Roman"/>
          <w:b/>
          <w:color w:val="auto"/>
          <w:sz w:val="24"/>
          <w:szCs w:val="24"/>
          <w:lang w:val="en-US" w:eastAsia="zh-CN"/>
        </w:rPr>
        <w:t>4</w:t>
      </w:r>
      <w:r>
        <w:rPr>
          <w:rFonts w:ascii="仿宋_GB2312" w:hAnsi="Times New Roman" w:eastAsia="仿宋_GB2312" w:cs="Times New Roman"/>
          <w:b/>
          <w:color w:val="auto"/>
          <w:sz w:val="24"/>
          <w:szCs w:val="24"/>
          <w:lang w:val="en-GB" w:eastAsia="zh-CN"/>
        </w:rPr>
        <w:t>、无适用政府采购政策产品，可不填。</w:t>
      </w:r>
    </w:p>
    <w:p w14:paraId="5511F65E">
      <w:pPr>
        <w:spacing w:line="360" w:lineRule="auto"/>
        <w:ind w:left="1080" w:hanging="540"/>
        <w:jc w:val="center"/>
        <w:rPr>
          <w:rFonts w:hint="default" w:ascii="Times New Roman" w:hAnsi="Times New Roman" w:eastAsia="宋体" w:cs="Times New Roman"/>
          <w:color w:val="auto"/>
          <w:lang w:eastAsia="zh-CN"/>
        </w:rPr>
        <w:sectPr>
          <w:pgSz w:w="11900" w:h="16840"/>
          <w:pgMar w:top="1440" w:right="1800" w:bottom="1440" w:left="1800" w:header="851" w:footer="992" w:gutter="0"/>
          <w:cols w:space="720" w:num="1"/>
        </w:sectPr>
      </w:pPr>
    </w:p>
    <w:p w14:paraId="4992C96B">
      <w:pPr>
        <w:pStyle w:val="3"/>
        <w:spacing w:before="0" w:after="0" w:line="360" w:lineRule="auto"/>
        <w:jc w:val="center"/>
        <w:rPr>
          <w:rFonts w:ascii="Times New Roman" w:hAnsi="Times New Roman" w:eastAsia="方正小标宋_GBK"/>
          <w:b w:val="0"/>
          <w:color w:val="auto"/>
          <w:sz w:val="30"/>
          <w:szCs w:val="30"/>
          <w:lang w:eastAsia="zh-CN"/>
        </w:rPr>
      </w:pPr>
      <w:r>
        <w:rPr>
          <w:rFonts w:hint="eastAsia" w:ascii="Times New Roman" w:hAnsi="Times New Roman" w:eastAsia="方正小标宋_GBK"/>
          <w:b w:val="0"/>
          <w:color w:val="auto"/>
          <w:sz w:val="30"/>
          <w:szCs w:val="30"/>
          <w:lang w:val="en" w:eastAsia="zh-CN"/>
        </w:rPr>
        <w:t>十一</w:t>
      </w:r>
      <w:r>
        <w:rPr>
          <w:rFonts w:ascii="Times New Roman" w:hAnsi="Times New Roman" w:eastAsia="方正小标宋_GBK"/>
          <w:b w:val="0"/>
          <w:color w:val="auto"/>
          <w:sz w:val="30"/>
          <w:szCs w:val="30"/>
          <w:lang w:eastAsia="zh-CN"/>
        </w:rPr>
        <w:t>、其他文件</w:t>
      </w:r>
      <w:bookmarkEnd w:id="461"/>
      <w:bookmarkEnd w:id="462"/>
      <w:bookmarkEnd w:id="463"/>
      <w:bookmarkEnd w:id="464"/>
      <w:bookmarkEnd w:id="465"/>
      <w:bookmarkEnd w:id="466"/>
      <w:bookmarkEnd w:id="467"/>
      <w:bookmarkEnd w:id="468"/>
      <w:bookmarkEnd w:id="469"/>
      <w:bookmarkEnd w:id="470"/>
      <w:bookmarkEnd w:id="471"/>
    </w:p>
    <w:p w14:paraId="1897CF71">
      <w:pPr>
        <w:rPr>
          <w:lang w:eastAsia="zh-CN"/>
        </w:rPr>
      </w:pPr>
    </w:p>
    <w:p w14:paraId="652AB8D3">
      <w:pPr>
        <w:rPr>
          <w:lang w:eastAsia="zh-CN"/>
        </w:rPr>
      </w:pPr>
    </w:p>
    <w:p w14:paraId="3E174203">
      <w:pPr>
        <w:rPr>
          <w:lang w:eastAsia="zh-CN"/>
        </w:rPr>
      </w:pPr>
    </w:p>
    <w:p w14:paraId="688E7461">
      <w:pPr>
        <w:rPr>
          <w:lang w:eastAsia="zh-CN"/>
        </w:rPr>
      </w:pPr>
    </w:p>
    <w:p w14:paraId="3F87BB28">
      <w:pPr>
        <w:rPr>
          <w:lang w:eastAsia="zh-CN"/>
        </w:rPr>
      </w:pPr>
    </w:p>
    <w:p w14:paraId="77CCCEB6">
      <w:pPr>
        <w:rPr>
          <w:lang w:eastAsia="zh-CN"/>
        </w:rPr>
      </w:pPr>
    </w:p>
    <w:p w14:paraId="095F0C3F">
      <w:pPr>
        <w:rPr>
          <w:lang w:eastAsia="zh-CN"/>
        </w:rPr>
      </w:pPr>
    </w:p>
    <w:p w14:paraId="439E38E4">
      <w:pPr>
        <w:rPr>
          <w:lang w:eastAsia="zh-CN"/>
        </w:rPr>
      </w:pPr>
    </w:p>
    <w:p w14:paraId="6284F96B">
      <w:pPr>
        <w:rPr>
          <w:lang w:eastAsia="zh-CN"/>
        </w:rPr>
      </w:pPr>
    </w:p>
    <w:p w14:paraId="78954676">
      <w:pPr>
        <w:rPr>
          <w:lang w:eastAsia="zh-CN"/>
        </w:rPr>
      </w:pPr>
    </w:p>
    <w:p w14:paraId="558F61DB">
      <w:pPr>
        <w:rPr>
          <w:lang w:eastAsia="zh-CN"/>
        </w:rPr>
      </w:pPr>
    </w:p>
    <w:p w14:paraId="22ECB337">
      <w:pPr>
        <w:rPr>
          <w:lang w:eastAsia="zh-CN"/>
        </w:rPr>
      </w:pPr>
    </w:p>
    <w:p w14:paraId="0EFB575E">
      <w:pPr>
        <w:rPr>
          <w:lang w:eastAsia="zh-CN"/>
        </w:rPr>
      </w:pPr>
    </w:p>
    <w:p w14:paraId="5ACAE360">
      <w:pPr>
        <w:rPr>
          <w:lang w:eastAsia="zh-CN"/>
        </w:rPr>
      </w:pPr>
    </w:p>
    <w:p w14:paraId="33DD85B9">
      <w:pPr>
        <w:rPr>
          <w:lang w:eastAsia="zh-CN"/>
        </w:rPr>
      </w:pPr>
    </w:p>
    <w:p w14:paraId="60C728DA">
      <w:pPr>
        <w:rPr>
          <w:lang w:eastAsia="zh-CN"/>
        </w:rPr>
      </w:pPr>
    </w:p>
    <w:p w14:paraId="52ECD535">
      <w:pPr>
        <w:rPr>
          <w:lang w:eastAsia="zh-CN"/>
        </w:rPr>
      </w:pPr>
    </w:p>
    <w:p w14:paraId="68205E03">
      <w:pPr>
        <w:rPr>
          <w:lang w:eastAsia="zh-CN"/>
        </w:rPr>
      </w:pPr>
    </w:p>
    <w:p w14:paraId="5D937E57">
      <w:pPr>
        <w:rPr>
          <w:lang w:eastAsia="zh-CN"/>
        </w:rPr>
      </w:pPr>
    </w:p>
    <w:p w14:paraId="67B216B5">
      <w:pPr>
        <w:rPr>
          <w:lang w:eastAsia="zh-CN"/>
        </w:rPr>
      </w:pPr>
    </w:p>
    <w:p w14:paraId="287F6F01">
      <w:pPr>
        <w:rPr>
          <w:lang w:eastAsia="zh-CN"/>
        </w:rPr>
      </w:pPr>
    </w:p>
    <w:p w14:paraId="1C73EB81">
      <w:pPr>
        <w:rPr>
          <w:lang w:eastAsia="zh-CN"/>
        </w:rPr>
      </w:pPr>
    </w:p>
    <w:p w14:paraId="0B6F8E6D">
      <w:pPr>
        <w:pStyle w:val="158"/>
        <w:ind w:left="0" w:leftChars="0" w:firstLine="0" w:firstLineChars="0"/>
        <w:rPr>
          <w:rFonts w:hint="default" w:ascii="Times New Roman" w:hAnsi="Times New Roman" w:eastAsia="宋体" w:cs="Times New Roman"/>
          <w:color w:val="auto"/>
          <w:kern w:val="0"/>
          <w:lang w:eastAsia="zh-CN"/>
        </w:rPr>
      </w:pPr>
      <w:bookmarkStart w:id="472" w:name="_Toc602951741"/>
      <w:bookmarkStart w:id="473" w:name="_Toc1033050500"/>
      <w:bookmarkStart w:id="474" w:name="_Toc1681859708"/>
      <w:bookmarkStart w:id="475" w:name="_Toc8682"/>
      <w:bookmarkStart w:id="476" w:name="_Toc1595406418"/>
      <w:bookmarkStart w:id="477" w:name="_Toc245603268"/>
      <w:bookmarkStart w:id="478" w:name="_Toc1375616047_WPSOffice_Level1"/>
    </w:p>
    <w:p w14:paraId="75EAA4C3">
      <w:pPr>
        <w:keepNext/>
        <w:keepLines/>
        <w:numPr>
          <w:ilvl w:val="0"/>
          <w:numId w:val="4"/>
        </w:numPr>
        <w:spacing w:line="360" w:lineRule="auto"/>
        <w:jc w:val="center"/>
        <w:outlineLvl w:val="0"/>
        <w:rPr>
          <w:rFonts w:hint="default" w:ascii="Times New Roman" w:hAnsi="Times New Roman" w:eastAsia="宋体" w:cs="Times New Roman"/>
          <w:b/>
          <w:bCs/>
          <w:color w:val="auto"/>
          <w:kern w:val="44"/>
          <w:sz w:val="36"/>
          <w:szCs w:val="36"/>
          <w:lang w:eastAsia="zh-CN"/>
        </w:rPr>
      </w:pPr>
      <w:r>
        <w:rPr>
          <w:rFonts w:ascii="Times New Roman" w:hAnsi="Times New Roman" w:eastAsia="宋体" w:cs="Times New Roman"/>
          <w:b/>
          <w:bCs/>
          <w:color w:val="auto"/>
          <w:kern w:val="44"/>
          <w:sz w:val="36"/>
          <w:szCs w:val="36"/>
          <w:lang w:eastAsia="zh-CN"/>
        </w:rPr>
        <w:t>项目需求及技术要求</w:t>
      </w:r>
      <w:bookmarkEnd w:id="472"/>
      <w:bookmarkEnd w:id="473"/>
      <w:bookmarkEnd w:id="474"/>
      <w:bookmarkEnd w:id="475"/>
      <w:bookmarkEnd w:id="476"/>
      <w:bookmarkEnd w:id="477"/>
      <w:bookmarkEnd w:id="478"/>
    </w:p>
    <w:p w14:paraId="420B1C7E">
      <w:pPr>
        <w:rPr>
          <w:lang w:val="en-US" w:eastAsia="zh-CN"/>
        </w:rPr>
      </w:pPr>
    </w:p>
    <w:p w14:paraId="7CDA42E8">
      <w:pPr>
        <w:pStyle w:val="39"/>
        <w:spacing w:line="340" w:lineRule="exact"/>
        <w:ind w:left="0" w:leftChars="0" w:firstLine="560" w:firstLineChars="200"/>
        <w:outlineLvl w:val="1"/>
        <w:rPr>
          <w:rFonts w:ascii="黑体" w:hAnsi="黑体" w:eastAsia="黑体" w:cs="黑体"/>
          <w:color w:val="auto"/>
          <w:sz w:val="28"/>
          <w:szCs w:val="28"/>
          <w:lang w:val="en-US" w:eastAsia="zh-CN"/>
        </w:rPr>
      </w:pPr>
      <w:r>
        <w:rPr>
          <w:rFonts w:ascii="黑体" w:hAnsi="黑体" w:eastAsia="黑体" w:cs="黑体"/>
          <w:color w:val="auto"/>
          <w:sz w:val="28"/>
          <w:szCs w:val="28"/>
          <w:lang w:val="en-US" w:eastAsia="zh-CN"/>
        </w:rPr>
        <w:t>一、需求清单</w:t>
      </w:r>
    </w:p>
    <w:p w14:paraId="33067835">
      <w:pPr>
        <w:spacing w:line="440" w:lineRule="exact"/>
        <w:ind w:firstLine="562" w:firstLineChars="200"/>
        <w:jc w:val="center"/>
        <w:outlineLvl w:val="1"/>
        <w:rPr>
          <w:rFonts w:hint="default" w:ascii="仿宋_GB2312" w:hAnsi="Times New Roman" w:eastAsia="仿宋_GB2312" w:cs="Times New Roman"/>
          <w:b/>
          <w:bCs/>
          <w:color w:val="auto"/>
          <w:sz w:val="28"/>
          <w:szCs w:val="28"/>
          <w:lang w:val="en-US" w:eastAsia="zh-CN"/>
        </w:rPr>
      </w:pPr>
      <w:r>
        <w:rPr>
          <w:rFonts w:ascii="仿宋_GB2312" w:hAnsi="Times New Roman" w:eastAsia="仿宋_GB2312" w:cs="Times New Roman"/>
          <w:b/>
          <w:bCs/>
          <w:color w:val="auto"/>
          <w:sz w:val="28"/>
          <w:szCs w:val="28"/>
          <w:lang w:val="en-US" w:eastAsia="zh-CN"/>
        </w:rPr>
        <w:t>表1 采购产品一览表</w:t>
      </w:r>
    </w:p>
    <w:tbl>
      <w:tblPr>
        <w:tblStyle w:val="51"/>
        <w:tblW w:w="105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51"/>
        <w:gridCol w:w="1020"/>
        <w:gridCol w:w="964"/>
        <w:gridCol w:w="1633"/>
        <w:gridCol w:w="1633"/>
        <w:gridCol w:w="1903"/>
      </w:tblGrid>
      <w:tr w14:paraId="3C6C7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50" w:type="dxa"/>
            <w:vAlign w:val="center"/>
          </w:tcPr>
          <w:p w14:paraId="4630AB98">
            <w:pPr>
              <w:spacing w:after="0" w:line="340" w:lineRule="exact"/>
              <w:jc w:val="center"/>
              <w:rPr>
                <w:rFonts w:hint="default" w:ascii="仿宋_GB2312" w:hAnsi="Times New Roman" w:eastAsia="仿宋_GB2312" w:cs="Times New Roman"/>
                <w:b/>
                <w:bCs/>
                <w:color w:val="auto"/>
                <w:sz w:val="28"/>
                <w:szCs w:val="28"/>
                <w:lang w:val="en-US" w:eastAsia="zh-CN"/>
              </w:rPr>
            </w:pPr>
            <w:r>
              <w:rPr>
                <w:rFonts w:hint="default" w:ascii="仿宋_GB2312" w:hAnsi="Times New Roman" w:eastAsia="仿宋_GB2312" w:cs="Times New Roman"/>
                <w:b/>
                <w:bCs/>
                <w:color w:val="auto"/>
                <w:sz w:val="28"/>
                <w:szCs w:val="28"/>
                <w:lang w:val="en-US" w:eastAsia="zh-CN"/>
              </w:rPr>
              <w:t>序号</w:t>
            </w:r>
          </w:p>
        </w:tc>
        <w:tc>
          <w:tcPr>
            <w:tcW w:w="2551" w:type="dxa"/>
            <w:vAlign w:val="center"/>
          </w:tcPr>
          <w:p w14:paraId="0702AE1A">
            <w:pPr>
              <w:spacing w:after="0" w:line="340" w:lineRule="exact"/>
              <w:jc w:val="center"/>
              <w:rPr>
                <w:rFonts w:hint="default" w:ascii="仿宋_GB2312" w:hAnsi="Times New Roman" w:eastAsia="仿宋_GB2312" w:cs="Times New Roman"/>
                <w:b/>
                <w:bCs/>
                <w:color w:val="auto"/>
                <w:sz w:val="28"/>
                <w:szCs w:val="28"/>
                <w:lang w:val="en-US" w:eastAsia="zh-CN"/>
              </w:rPr>
            </w:pPr>
            <w:r>
              <w:rPr>
                <w:rFonts w:hint="default" w:ascii="仿宋_GB2312" w:hAnsi="Times New Roman" w:eastAsia="仿宋_GB2312" w:cs="Times New Roman"/>
                <w:b/>
                <w:bCs/>
                <w:color w:val="auto"/>
                <w:sz w:val="28"/>
                <w:szCs w:val="28"/>
                <w:lang w:val="en-US" w:eastAsia="zh-CN"/>
              </w:rPr>
              <w:t>货物名称</w:t>
            </w:r>
          </w:p>
        </w:tc>
        <w:tc>
          <w:tcPr>
            <w:tcW w:w="1020" w:type="dxa"/>
            <w:vAlign w:val="center"/>
          </w:tcPr>
          <w:p w14:paraId="69CD776D">
            <w:pPr>
              <w:spacing w:after="0" w:line="340" w:lineRule="exact"/>
              <w:jc w:val="center"/>
              <w:rPr>
                <w:rFonts w:hint="default" w:ascii="仿宋_GB2312" w:hAnsi="Times New Roman" w:eastAsia="仿宋_GB2312" w:cs="Times New Roman"/>
                <w:b/>
                <w:bCs/>
                <w:color w:val="auto"/>
                <w:sz w:val="28"/>
                <w:szCs w:val="28"/>
                <w:lang w:val="en-US" w:eastAsia="zh-CN"/>
              </w:rPr>
            </w:pPr>
            <w:r>
              <w:rPr>
                <w:rFonts w:ascii="仿宋_GB2312" w:hAnsi="Times New Roman" w:eastAsia="仿宋_GB2312" w:cs="Times New Roman"/>
                <w:b/>
                <w:bCs/>
                <w:color w:val="auto"/>
                <w:sz w:val="28"/>
                <w:szCs w:val="28"/>
                <w:lang w:val="en-US" w:eastAsia="zh-CN"/>
              </w:rPr>
              <w:t>单位</w:t>
            </w:r>
          </w:p>
        </w:tc>
        <w:tc>
          <w:tcPr>
            <w:tcW w:w="964" w:type="dxa"/>
            <w:vAlign w:val="center"/>
          </w:tcPr>
          <w:p w14:paraId="2D064049">
            <w:pPr>
              <w:spacing w:after="0" w:line="340" w:lineRule="exact"/>
              <w:jc w:val="center"/>
              <w:rPr>
                <w:rFonts w:hint="default" w:ascii="仿宋_GB2312" w:hAnsi="Times New Roman" w:eastAsia="仿宋_GB2312" w:cs="Times New Roman"/>
                <w:b/>
                <w:bCs/>
                <w:color w:val="auto"/>
                <w:sz w:val="28"/>
                <w:szCs w:val="28"/>
                <w:lang w:val="en-US" w:eastAsia="zh-CN"/>
              </w:rPr>
            </w:pPr>
            <w:r>
              <w:rPr>
                <w:rFonts w:ascii="仿宋_GB2312" w:hAnsi="Times New Roman" w:eastAsia="仿宋_GB2312" w:cs="Times New Roman"/>
                <w:b/>
                <w:bCs/>
                <w:color w:val="auto"/>
                <w:sz w:val="28"/>
                <w:szCs w:val="28"/>
                <w:lang w:val="en-US" w:eastAsia="zh-CN"/>
              </w:rPr>
              <w:t>数量</w:t>
            </w:r>
          </w:p>
        </w:tc>
        <w:tc>
          <w:tcPr>
            <w:tcW w:w="1633" w:type="dxa"/>
            <w:vAlign w:val="center"/>
          </w:tcPr>
          <w:p w14:paraId="75252A4D">
            <w:pPr>
              <w:spacing w:after="0" w:line="340" w:lineRule="exact"/>
              <w:jc w:val="center"/>
              <w:rPr>
                <w:rFonts w:hint="default" w:ascii="仿宋_GB2312" w:hAnsi="Times New Roman" w:eastAsia="仿宋_GB2312" w:cs="Times New Roman"/>
                <w:b/>
                <w:bCs/>
                <w:color w:val="auto"/>
                <w:sz w:val="28"/>
                <w:szCs w:val="28"/>
                <w:lang w:val="en-US" w:eastAsia="zh-CN"/>
              </w:rPr>
            </w:pPr>
            <w:r>
              <w:rPr>
                <w:rFonts w:ascii="仿宋_GB2312" w:hAnsi="Times New Roman" w:eastAsia="仿宋_GB2312" w:cs="Times New Roman"/>
                <w:b/>
                <w:bCs/>
                <w:color w:val="auto"/>
                <w:sz w:val="28"/>
                <w:szCs w:val="28"/>
                <w:lang w:val="en-US" w:eastAsia="zh-CN"/>
              </w:rPr>
              <w:t>所属行业</w:t>
            </w:r>
          </w:p>
        </w:tc>
        <w:tc>
          <w:tcPr>
            <w:tcW w:w="1633" w:type="dxa"/>
            <w:vAlign w:val="center"/>
          </w:tcPr>
          <w:p w14:paraId="128BE266">
            <w:pPr>
              <w:spacing w:after="0" w:line="340" w:lineRule="exact"/>
              <w:jc w:val="center"/>
              <w:rPr>
                <w:rFonts w:hint="default" w:ascii="仿宋_GB2312" w:hAnsi="Times New Roman" w:eastAsia="仿宋_GB2312" w:cs="Times New Roman"/>
                <w:b/>
                <w:bCs/>
                <w:color w:val="auto"/>
                <w:sz w:val="28"/>
                <w:szCs w:val="28"/>
                <w:lang w:val="en" w:eastAsia="zh-CN"/>
              </w:rPr>
            </w:pPr>
            <w:r>
              <w:rPr>
                <w:rFonts w:ascii="仿宋_GB2312" w:hAnsi="Times New Roman" w:eastAsia="仿宋_GB2312" w:cs="Times New Roman"/>
                <w:b/>
                <w:bCs/>
                <w:color w:val="auto"/>
                <w:sz w:val="28"/>
                <w:szCs w:val="28"/>
                <w:lang w:val="en" w:eastAsia="zh-CN"/>
              </w:rPr>
              <w:t>节能产品类型</w:t>
            </w:r>
          </w:p>
        </w:tc>
        <w:tc>
          <w:tcPr>
            <w:tcW w:w="1903" w:type="dxa"/>
            <w:vAlign w:val="center"/>
          </w:tcPr>
          <w:p w14:paraId="5234AFEA">
            <w:pPr>
              <w:spacing w:after="0" w:line="340" w:lineRule="exact"/>
              <w:jc w:val="center"/>
              <w:rPr>
                <w:rFonts w:hint="default" w:ascii="仿宋_GB2312" w:hAnsi="Times New Roman" w:eastAsia="仿宋_GB2312" w:cs="Times New Roman"/>
                <w:b/>
                <w:bCs/>
                <w:color w:val="auto"/>
                <w:sz w:val="28"/>
                <w:szCs w:val="28"/>
                <w:lang w:val="en" w:eastAsia="zh-CN"/>
              </w:rPr>
            </w:pPr>
            <w:r>
              <w:rPr>
                <w:rFonts w:ascii="仿宋_GB2312" w:hAnsi="Times New Roman" w:eastAsia="仿宋_GB2312" w:cs="Times New Roman"/>
                <w:b/>
                <w:bCs/>
                <w:color w:val="auto"/>
                <w:sz w:val="28"/>
                <w:szCs w:val="28"/>
                <w:lang w:val="en" w:eastAsia="zh-CN"/>
              </w:rPr>
              <w:t>环境标志产品类型</w:t>
            </w:r>
          </w:p>
        </w:tc>
      </w:tr>
      <w:tr w14:paraId="21D5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50" w:type="dxa"/>
            <w:vAlign w:val="center"/>
          </w:tcPr>
          <w:p w14:paraId="6B5F5174">
            <w:pPr>
              <w:spacing w:after="0"/>
              <w:jc w:val="center"/>
              <w:textAlignment w:val="center"/>
              <w:rPr>
                <w:rFonts w:ascii="仿宋" w:hAnsi="仿宋" w:eastAsia="仿宋" w:cs="仿宋"/>
                <w:color w:val="auto"/>
                <w:kern w:val="0"/>
                <w:lang w:val="en-US" w:eastAsia="zh-CN"/>
              </w:rPr>
            </w:pPr>
            <w:r>
              <w:rPr>
                <w:rFonts w:ascii="仿宋" w:hAnsi="仿宋" w:eastAsia="仿宋" w:cs="仿宋"/>
                <w:color w:val="auto"/>
                <w:kern w:val="0"/>
                <w:lang w:bidi="ar"/>
              </w:rPr>
              <w:t>1</w:t>
            </w:r>
          </w:p>
        </w:tc>
        <w:tc>
          <w:tcPr>
            <w:tcW w:w="2551" w:type="dxa"/>
            <w:noWrap/>
            <w:vAlign w:val="center"/>
          </w:tcPr>
          <w:p w14:paraId="36CA4423">
            <w:pPr>
              <w:jc w:val="center"/>
              <w:textAlignment w:val="center"/>
              <w:rPr>
                <w:rFonts w:ascii="仿宋" w:hAnsi="仿宋" w:eastAsia="仿宋" w:cs="仿宋"/>
                <w:sz w:val="24"/>
                <w:lang w:val="en-US" w:eastAsia="zh-CN"/>
              </w:rPr>
            </w:pPr>
            <w:r>
              <w:rPr>
                <w:rFonts w:ascii="仿宋" w:hAnsi="仿宋" w:eastAsia="仿宋" w:cs="仿宋"/>
                <w:kern w:val="0"/>
                <w:sz w:val="22"/>
                <w:szCs w:val="22"/>
                <w:lang w:val="en-US" w:eastAsia="zh-CN" w:bidi="ar"/>
              </w:rPr>
              <w:t>虚拟化服务器</w:t>
            </w:r>
          </w:p>
        </w:tc>
        <w:tc>
          <w:tcPr>
            <w:tcW w:w="1020" w:type="dxa"/>
            <w:vAlign w:val="center"/>
          </w:tcPr>
          <w:p w14:paraId="03DDE1E9">
            <w:pPr>
              <w:jc w:val="center"/>
              <w:textAlignment w:val="center"/>
              <w:rPr>
                <w:rFonts w:ascii="仿宋" w:hAnsi="仿宋" w:eastAsia="仿宋" w:cs="仿宋"/>
                <w:sz w:val="24"/>
              </w:rPr>
            </w:pPr>
            <w:r>
              <w:rPr>
                <w:rFonts w:ascii="仿宋" w:hAnsi="仿宋" w:eastAsia="仿宋" w:cs="仿宋"/>
                <w:kern w:val="0"/>
                <w:sz w:val="22"/>
                <w:szCs w:val="22"/>
                <w:lang w:val="en-US" w:eastAsia="zh-CN" w:bidi="ar"/>
              </w:rPr>
              <w:t>台</w:t>
            </w:r>
          </w:p>
        </w:tc>
        <w:tc>
          <w:tcPr>
            <w:tcW w:w="964" w:type="dxa"/>
            <w:vAlign w:val="center"/>
          </w:tcPr>
          <w:p w14:paraId="270094F8">
            <w:pPr>
              <w:jc w:val="center"/>
              <w:textAlignment w:val="center"/>
              <w:rPr>
                <w:rFonts w:ascii="仿宋" w:hAnsi="仿宋" w:eastAsia="仿宋" w:cs="仿宋"/>
                <w:sz w:val="24"/>
              </w:rPr>
            </w:pPr>
            <w:r>
              <w:rPr>
                <w:rFonts w:ascii="仿宋" w:hAnsi="仿宋" w:eastAsia="仿宋" w:cs="仿宋"/>
                <w:kern w:val="0"/>
                <w:sz w:val="22"/>
                <w:szCs w:val="22"/>
                <w:lang w:val="en-US" w:eastAsia="zh-CN" w:bidi="ar"/>
              </w:rPr>
              <w:t>8</w:t>
            </w:r>
          </w:p>
        </w:tc>
        <w:tc>
          <w:tcPr>
            <w:tcW w:w="1633" w:type="dxa"/>
            <w:vAlign w:val="center"/>
          </w:tcPr>
          <w:p w14:paraId="6BB5F5D8">
            <w:pPr>
              <w:adjustRightInd w:val="0"/>
              <w:snapToGrid w:val="0"/>
              <w:spacing w:after="0" w:line="360" w:lineRule="auto"/>
              <w:jc w:val="center"/>
              <w:rPr>
                <w:rFonts w:ascii="仿宋" w:hAnsi="仿宋" w:eastAsia="仿宋" w:cs="仿宋"/>
                <w:sz w:val="24"/>
                <w:lang w:val="en-US" w:eastAsia="zh-CN"/>
              </w:rPr>
            </w:pPr>
            <w:r>
              <w:rPr>
                <w:rFonts w:ascii="仿宋" w:hAnsi="仿宋" w:eastAsia="仿宋" w:cs="仿宋"/>
                <w:sz w:val="24"/>
                <w:lang w:val="en-US" w:eastAsia="zh-CN"/>
              </w:rPr>
              <w:t>工业</w:t>
            </w:r>
          </w:p>
        </w:tc>
        <w:tc>
          <w:tcPr>
            <w:tcW w:w="1633" w:type="dxa"/>
            <w:vAlign w:val="center"/>
          </w:tcPr>
          <w:p w14:paraId="47235261">
            <w:pPr>
              <w:spacing w:after="0" w:line="340" w:lineRule="exact"/>
              <w:jc w:val="center"/>
              <w:rPr>
                <w:rFonts w:hint="default" w:ascii="仿宋_GB2312" w:hAnsi="Times New Roman" w:eastAsia="仿宋_GB2312" w:cs="Times New Roman"/>
                <w:color w:val="auto"/>
                <w:sz w:val="24"/>
                <w:szCs w:val="24"/>
                <w:lang w:val="en-US" w:eastAsia="zh-CN"/>
              </w:rPr>
            </w:pPr>
            <w:r>
              <w:rPr>
                <w:rFonts w:eastAsia="宋体"/>
                <w:lang w:val="en-US" w:eastAsia="zh-CN"/>
              </w:rPr>
              <w:t>/</w:t>
            </w:r>
          </w:p>
        </w:tc>
        <w:tc>
          <w:tcPr>
            <w:tcW w:w="1903" w:type="dxa"/>
            <w:vAlign w:val="center"/>
          </w:tcPr>
          <w:p w14:paraId="66104091">
            <w:pPr>
              <w:spacing w:after="0" w:line="340" w:lineRule="exact"/>
              <w:jc w:val="center"/>
              <w:rPr>
                <w:rFonts w:hint="default"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highlight w:val="none"/>
                <w:lang w:val="en-US" w:eastAsia="zh-CN"/>
              </w:rPr>
              <w:t>优先环保</w:t>
            </w:r>
          </w:p>
        </w:tc>
      </w:tr>
      <w:tr w14:paraId="1357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50" w:type="dxa"/>
            <w:vAlign w:val="center"/>
          </w:tcPr>
          <w:p w14:paraId="357585EA">
            <w:pPr>
              <w:spacing w:after="0"/>
              <w:jc w:val="center"/>
              <w:textAlignment w:val="center"/>
              <w:rPr>
                <w:rFonts w:ascii="仿宋" w:hAnsi="仿宋" w:eastAsia="仿宋" w:cs="仿宋"/>
                <w:color w:val="auto"/>
                <w:kern w:val="0"/>
                <w:lang w:val="en-US" w:eastAsia="zh-CN"/>
              </w:rPr>
            </w:pPr>
            <w:r>
              <w:rPr>
                <w:rFonts w:ascii="仿宋" w:hAnsi="仿宋" w:eastAsia="仿宋" w:cs="仿宋"/>
                <w:color w:val="auto"/>
                <w:kern w:val="0"/>
                <w:lang w:bidi="ar"/>
              </w:rPr>
              <w:t>2</w:t>
            </w:r>
          </w:p>
        </w:tc>
        <w:tc>
          <w:tcPr>
            <w:tcW w:w="2551" w:type="dxa"/>
            <w:noWrap/>
            <w:vAlign w:val="center"/>
          </w:tcPr>
          <w:p w14:paraId="3FC29DBA">
            <w:pPr>
              <w:jc w:val="center"/>
              <w:textAlignment w:val="center"/>
              <w:rPr>
                <w:rFonts w:ascii="仿宋" w:hAnsi="仿宋" w:eastAsia="仿宋" w:cs="仿宋"/>
                <w:color w:val="FF0000"/>
                <w:sz w:val="24"/>
                <w:u w:val="single"/>
                <w:lang w:val="en-US" w:eastAsia="zh-CN"/>
              </w:rPr>
            </w:pPr>
            <w:r>
              <w:rPr>
                <w:rFonts w:ascii="仿宋" w:hAnsi="仿宋" w:eastAsia="仿宋" w:cs="仿宋"/>
                <w:kern w:val="0"/>
                <w:sz w:val="22"/>
                <w:szCs w:val="22"/>
                <w:lang w:val="en-US" w:eastAsia="zh-CN" w:bidi="ar"/>
              </w:rPr>
              <w:t>PACS服务器</w:t>
            </w:r>
          </w:p>
        </w:tc>
        <w:tc>
          <w:tcPr>
            <w:tcW w:w="1020" w:type="dxa"/>
            <w:vAlign w:val="center"/>
          </w:tcPr>
          <w:p w14:paraId="4801BF6D">
            <w:pPr>
              <w:jc w:val="center"/>
              <w:textAlignment w:val="center"/>
              <w:rPr>
                <w:rFonts w:ascii="仿宋" w:hAnsi="仿宋" w:eastAsia="仿宋" w:cs="仿宋"/>
                <w:sz w:val="24"/>
              </w:rPr>
            </w:pPr>
            <w:r>
              <w:rPr>
                <w:rFonts w:ascii="仿宋" w:hAnsi="仿宋" w:eastAsia="仿宋" w:cs="仿宋"/>
                <w:kern w:val="0"/>
                <w:sz w:val="22"/>
                <w:szCs w:val="22"/>
                <w:lang w:val="en-US" w:eastAsia="zh-CN" w:bidi="ar"/>
              </w:rPr>
              <w:t>台</w:t>
            </w:r>
          </w:p>
        </w:tc>
        <w:tc>
          <w:tcPr>
            <w:tcW w:w="964" w:type="dxa"/>
            <w:vAlign w:val="center"/>
          </w:tcPr>
          <w:p w14:paraId="64BBFBFB">
            <w:pPr>
              <w:jc w:val="center"/>
              <w:textAlignment w:val="center"/>
              <w:rPr>
                <w:rFonts w:ascii="仿宋" w:hAnsi="仿宋" w:eastAsia="仿宋" w:cs="仿宋"/>
                <w:sz w:val="24"/>
              </w:rPr>
            </w:pPr>
            <w:r>
              <w:rPr>
                <w:rFonts w:ascii="仿宋" w:hAnsi="仿宋" w:eastAsia="仿宋" w:cs="仿宋"/>
                <w:kern w:val="0"/>
                <w:sz w:val="22"/>
                <w:szCs w:val="22"/>
                <w:lang w:val="en-US" w:eastAsia="zh-CN" w:bidi="ar"/>
              </w:rPr>
              <w:t>4</w:t>
            </w:r>
          </w:p>
        </w:tc>
        <w:tc>
          <w:tcPr>
            <w:tcW w:w="1633" w:type="dxa"/>
            <w:vAlign w:val="center"/>
          </w:tcPr>
          <w:p w14:paraId="30408543">
            <w:pPr>
              <w:pStyle w:val="50"/>
              <w:adjustRightInd w:val="0"/>
              <w:snapToGrid w:val="0"/>
              <w:spacing w:after="0" w:line="360" w:lineRule="auto"/>
              <w:ind w:left="0" w:leftChars="0" w:firstLine="0" w:firstLineChars="0"/>
              <w:jc w:val="center"/>
              <w:rPr>
                <w:rFonts w:hint="eastAsia" w:ascii="仿宋" w:hAnsi="仿宋" w:eastAsia="仿宋" w:cs="仿宋"/>
                <w:color w:val="000000"/>
                <w:kern w:val="0"/>
                <w:sz w:val="24"/>
                <w:lang w:bidi="ar"/>
              </w:rPr>
            </w:pPr>
            <w:r>
              <w:rPr>
                <w:rFonts w:hint="eastAsia" w:ascii="仿宋" w:hAnsi="仿宋" w:eastAsia="仿宋" w:cs="仿宋"/>
                <w:sz w:val="24"/>
                <w:lang w:val="en-US" w:eastAsia="zh-CN"/>
              </w:rPr>
              <w:t>工业</w:t>
            </w:r>
          </w:p>
        </w:tc>
        <w:tc>
          <w:tcPr>
            <w:tcW w:w="1633" w:type="dxa"/>
            <w:vAlign w:val="center"/>
          </w:tcPr>
          <w:p w14:paraId="4405E0BF">
            <w:pPr>
              <w:spacing w:after="0" w:line="340" w:lineRule="exact"/>
              <w:jc w:val="center"/>
              <w:rPr>
                <w:rFonts w:hint="default" w:ascii="仿宋_GB2312" w:hAnsi="Times New Roman" w:eastAsia="仿宋_GB2312" w:cs="Times New Roman"/>
                <w:color w:val="auto"/>
                <w:sz w:val="24"/>
                <w:szCs w:val="24"/>
                <w:lang w:val="en-US" w:eastAsia="zh-CN"/>
              </w:rPr>
            </w:pPr>
            <w:r>
              <w:rPr>
                <w:rFonts w:eastAsia="宋体"/>
                <w:lang w:val="en-US" w:eastAsia="zh-CN"/>
              </w:rPr>
              <w:t>/</w:t>
            </w:r>
          </w:p>
        </w:tc>
        <w:tc>
          <w:tcPr>
            <w:tcW w:w="1903" w:type="dxa"/>
            <w:vAlign w:val="center"/>
          </w:tcPr>
          <w:p w14:paraId="78E484D8">
            <w:pPr>
              <w:spacing w:after="0" w:line="340" w:lineRule="exact"/>
              <w:jc w:val="center"/>
              <w:rPr>
                <w:rFonts w:hint="default" w:ascii="仿宋_GB2312" w:hAnsi="Times New Roman" w:eastAsia="仿宋_GB2312" w:cs="Times New Roman"/>
                <w:color w:val="auto"/>
                <w:sz w:val="24"/>
                <w:szCs w:val="24"/>
                <w:lang w:val="en-US" w:eastAsia="zh-CN"/>
              </w:rPr>
            </w:pPr>
            <w:r>
              <w:rPr>
                <w:rFonts w:hint="default" w:ascii="仿宋_GB2312" w:hAnsi="Times New Roman" w:eastAsia="仿宋_GB2312" w:cs="Times New Roman"/>
                <w:color w:val="auto"/>
                <w:sz w:val="24"/>
                <w:szCs w:val="24"/>
                <w:lang w:val="en-US" w:eastAsia="zh-CN"/>
              </w:rPr>
              <w:t>优先环保</w:t>
            </w:r>
          </w:p>
        </w:tc>
      </w:tr>
      <w:tr w14:paraId="42FC1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50" w:type="dxa"/>
            <w:vAlign w:val="center"/>
          </w:tcPr>
          <w:p w14:paraId="0DB4BFDF">
            <w:pPr>
              <w:spacing w:after="0"/>
              <w:jc w:val="center"/>
              <w:textAlignment w:val="center"/>
              <w:rPr>
                <w:rFonts w:ascii="仿宋" w:hAnsi="仿宋" w:eastAsia="仿宋" w:cs="仿宋"/>
                <w:bCs/>
                <w:color w:val="auto"/>
                <w:kern w:val="0"/>
                <w:lang w:val="en-US" w:eastAsia="zh-CN"/>
              </w:rPr>
            </w:pPr>
            <w:r>
              <w:rPr>
                <w:rFonts w:ascii="仿宋" w:hAnsi="仿宋" w:eastAsia="仿宋" w:cs="仿宋"/>
                <w:bCs/>
                <w:color w:val="auto"/>
                <w:kern w:val="0"/>
                <w:lang w:bidi="ar"/>
              </w:rPr>
              <w:t>3</w:t>
            </w:r>
          </w:p>
        </w:tc>
        <w:tc>
          <w:tcPr>
            <w:tcW w:w="2551" w:type="dxa"/>
            <w:noWrap/>
            <w:vAlign w:val="center"/>
          </w:tcPr>
          <w:p w14:paraId="69C35229">
            <w:pPr>
              <w:jc w:val="center"/>
              <w:textAlignment w:val="center"/>
              <w:rPr>
                <w:rFonts w:ascii="仿宋" w:hAnsi="仿宋" w:eastAsia="仿宋" w:cs="仿宋"/>
                <w:kern w:val="0"/>
                <w:sz w:val="24"/>
                <w:lang w:val="en-US" w:eastAsia="zh-CN" w:bidi="ar"/>
              </w:rPr>
            </w:pPr>
            <w:r>
              <w:rPr>
                <w:rFonts w:ascii="仿宋" w:hAnsi="仿宋" w:eastAsia="仿宋" w:cs="仿宋"/>
                <w:kern w:val="0"/>
                <w:sz w:val="22"/>
                <w:szCs w:val="22"/>
                <w:lang w:val="en-US" w:eastAsia="zh-CN" w:bidi="ar"/>
              </w:rPr>
              <w:t>虚拟化软件及授权</w:t>
            </w:r>
          </w:p>
        </w:tc>
        <w:tc>
          <w:tcPr>
            <w:tcW w:w="1020" w:type="dxa"/>
            <w:vAlign w:val="center"/>
          </w:tcPr>
          <w:p w14:paraId="77CCAEAC">
            <w:pPr>
              <w:jc w:val="center"/>
              <w:textAlignment w:val="center"/>
              <w:rPr>
                <w:rFonts w:ascii="仿宋" w:hAnsi="仿宋" w:eastAsia="仿宋" w:cs="仿宋"/>
                <w:kern w:val="0"/>
                <w:sz w:val="24"/>
                <w:lang w:bidi="ar"/>
              </w:rPr>
            </w:pPr>
            <w:r>
              <w:rPr>
                <w:rFonts w:ascii="仿宋" w:hAnsi="仿宋" w:eastAsia="仿宋" w:cs="仿宋"/>
                <w:kern w:val="0"/>
                <w:sz w:val="22"/>
                <w:szCs w:val="22"/>
                <w:lang w:val="en-US" w:eastAsia="zh-CN" w:bidi="ar"/>
              </w:rPr>
              <w:t>套</w:t>
            </w:r>
          </w:p>
        </w:tc>
        <w:tc>
          <w:tcPr>
            <w:tcW w:w="964" w:type="dxa"/>
            <w:vAlign w:val="center"/>
          </w:tcPr>
          <w:p w14:paraId="1DCCC6D9">
            <w:pPr>
              <w:jc w:val="center"/>
              <w:textAlignment w:val="center"/>
              <w:rPr>
                <w:rFonts w:ascii="仿宋" w:hAnsi="仿宋" w:eastAsia="仿宋" w:cs="仿宋"/>
                <w:kern w:val="0"/>
                <w:sz w:val="24"/>
                <w:lang w:bidi="ar"/>
              </w:rPr>
            </w:pPr>
            <w:r>
              <w:rPr>
                <w:rFonts w:ascii="仿宋" w:hAnsi="仿宋" w:eastAsia="仿宋" w:cs="仿宋"/>
                <w:kern w:val="0"/>
                <w:sz w:val="22"/>
                <w:szCs w:val="22"/>
                <w:lang w:val="en-US" w:eastAsia="zh-CN" w:bidi="ar"/>
              </w:rPr>
              <w:t>1</w:t>
            </w:r>
          </w:p>
        </w:tc>
        <w:tc>
          <w:tcPr>
            <w:tcW w:w="1633" w:type="dxa"/>
            <w:vAlign w:val="center"/>
          </w:tcPr>
          <w:p w14:paraId="5714DD8F">
            <w:pPr>
              <w:adjustRightInd w:val="0"/>
              <w:snapToGrid w:val="0"/>
              <w:spacing w:after="0" w:line="360" w:lineRule="auto"/>
              <w:jc w:val="center"/>
              <w:rPr>
                <w:rFonts w:ascii="仿宋" w:hAnsi="仿宋" w:eastAsia="仿宋" w:cs="仿宋"/>
                <w:kern w:val="0"/>
                <w:sz w:val="24"/>
                <w:lang w:bidi="ar"/>
              </w:rPr>
            </w:pPr>
            <w:r>
              <w:rPr>
                <w:rFonts w:hint="eastAsia" w:ascii="仿宋" w:hAnsi="仿宋" w:eastAsia="仿宋" w:cs="仿宋"/>
                <w:color w:val="000000"/>
                <w:kern w:val="0"/>
                <w:sz w:val="24"/>
                <w:lang w:eastAsia="zh-CN" w:bidi="ar"/>
              </w:rPr>
              <w:t>软件和信息技术服务业</w:t>
            </w:r>
          </w:p>
        </w:tc>
        <w:tc>
          <w:tcPr>
            <w:tcW w:w="1633" w:type="dxa"/>
            <w:vAlign w:val="center"/>
          </w:tcPr>
          <w:p w14:paraId="29A5325C">
            <w:pPr>
              <w:spacing w:after="0" w:line="340" w:lineRule="exact"/>
              <w:jc w:val="center"/>
              <w:rPr>
                <w:rFonts w:hint="default" w:ascii="仿宋_GB2312" w:hAnsi="Times New Roman" w:eastAsia="仿宋_GB2312" w:cs="Times New Roman"/>
                <w:color w:val="auto"/>
                <w:sz w:val="24"/>
                <w:szCs w:val="24"/>
                <w:lang w:val="en-US" w:eastAsia="zh-CN"/>
              </w:rPr>
            </w:pPr>
            <w:r>
              <w:rPr>
                <w:rFonts w:eastAsia="宋体"/>
                <w:lang w:val="en-US" w:eastAsia="zh-CN"/>
              </w:rPr>
              <w:t>/</w:t>
            </w:r>
          </w:p>
        </w:tc>
        <w:tc>
          <w:tcPr>
            <w:tcW w:w="1903" w:type="dxa"/>
            <w:vAlign w:val="center"/>
          </w:tcPr>
          <w:p w14:paraId="17E2108A">
            <w:pPr>
              <w:spacing w:after="0" w:line="340" w:lineRule="exact"/>
              <w:jc w:val="center"/>
              <w:rPr>
                <w:rFonts w:hint="default" w:ascii="仿宋_GB2312" w:hAnsi="Times New Roman" w:eastAsia="仿宋_GB2312" w:cs="Times New Roman"/>
                <w:color w:val="auto"/>
                <w:sz w:val="24"/>
                <w:szCs w:val="24"/>
                <w:lang w:val="en-US" w:eastAsia="zh-CN"/>
              </w:rPr>
            </w:pPr>
            <w:r>
              <w:rPr>
                <w:rFonts w:eastAsia="宋体"/>
                <w:lang w:val="en-US" w:eastAsia="zh-CN"/>
              </w:rPr>
              <w:t>/</w:t>
            </w:r>
          </w:p>
        </w:tc>
      </w:tr>
      <w:tr w14:paraId="0A07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50" w:type="dxa"/>
            <w:vAlign w:val="center"/>
          </w:tcPr>
          <w:p w14:paraId="5669D66A">
            <w:pPr>
              <w:spacing w:after="0"/>
              <w:jc w:val="center"/>
              <w:textAlignment w:val="center"/>
              <w:rPr>
                <w:rFonts w:ascii="仿宋" w:hAnsi="仿宋" w:eastAsia="仿宋" w:cs="仿宋"/>
                <w:color w:val="auto"/>
                <w:kern w:val="0"/>
                <w:lang w:val="en-US" w:eastAsia="zh-CN"/>
              </w:rPr>
            </w:pPr>
            <w:r>
              <w:rPr>
                <w:rFonts w:ascii="仿宋" w:hAnsi="仿宋" w:eastAsia="仿宋" w:cs="仿宋"/>
                <w:color w:val="auto"/>
                <w:kern w:val="0"/>
                <w:lang w:bidi="ar"/>
              </w:rPr>
              <w:t>4</w:t>
            </w:r>
          </w:p>
        </w:tc>
        <w:tc>
          <w:tcPr>
            <w:tcW w:w="2551" w:type="dxa"/>
            <w:noWrap/>
            <w:vAlign w:val="center"/>
          </w:tcPr>
          <w:p w14:paraId="11A0D5F5">
            <w:pPr>
              <w:jc w:val="center"/>
              <w:textAlignment w:val="center"/>
              <w:rPr>
                <w:rFonts w:ascii="仿宋" w:hAnsi="仿宋" w:eastAsia="仿宋" w:cs="仿宋"/>
                <w:kern w:val="0"/>
                <w:sz w:val="24"/>
                <w:lang w:val="en-US" w:eastAsia="zh-CN" w:bidi="ar"/>
              </w:rPr>
            </w:pPr>
            <w:r>
              <w:rPr>
                <w:rFonts w:ascii="仿宋" w:hAnsi="仿宋" w:eastAsia="仿宋" w:cs="仿宋"/>
                <w:kern w:val="0"/>
                <w:sz w:val="22"/>
                <w:szCs w:val="22"/>
                <w:lang w:val="en-US" w:eastAsia="zh-CN" w:bidi="ar"/>
              </w:rPr>
              <w:t>PACS存储</w:t>
            </w:r>
          </w:p>
        </w:tc>
        <w:tc>
          <w:tcPr>
            <w:tcW w:w="1020" w:type="dxa"/>
            <w:vAlign w:val="center"/>
          </w:tcPr>
          <w:p w14:paraId="7F5DB4DB">
            <w:pPr>
              <w:jc w:val="center"/>
              <w:textAlignment w:val="center"/>
              <w:rPr>
                <w:rFonts w:ascii="仿宋" w:hAnsi="仿宋" w:eastAsia="仿宋" w:cs="仿宋"/>
                <w:kern w:val="0"/>
                <w:sz w:val="24"/>
                <w:lang w:bidi="ar"/>
              </w:rPr>
            </w:pPr>
            <w:r>
              <w:rPr>
                <w:rFonts w:ascii="仿宋" w:hAnsi="仿宋" w:eastAsia="仿宋" w:cs="仿宋"/>
                <w:kern w:val="0"/>
                <w:sz w:val="22"/>
                <w:szCs w:val="22"/>
                <w:lang w:val="en-US" w:eastAsia="zh-CN" w:bidi="ar"/>
              </w:rPr>
              <w:t>台</w:t>
            </w:r>
          </w:p>
        </w:tc>
        <w:tc>
          <w:tcPr>
            <w:tcW w:w="964" w:type="dxa"/>
            <w:vAlign w:val="center"/>
          </w:tcPr>
          <w:p w14:paraId="2CA84ED8">
            <w:pPr>
              <w:jc w:val="center"/>
              <w:textAlignment w:val="center"/>
              <w:rPr>
                <w:rFonts w:ascii="仿宋" w:hAnsi="仿宋" w:eastAsia="仿宋" w:cs="仿宋"/>
                <w:kern w:val="0"/>
                <w:sz w:val="24"/>
                <w:lang w:bidi="ar"/>
              </w:rPr>
            </w:pPr>
            <w:r>
              <w:rPr>
                <w:rFonts w:ascii="仿宋" w:hAnsi="仿宋" w:eastAsia="仿宋" w:cs="仿宋"/>
                <w:kern w:val="0"/>
                <w:sz w:val="22"/>
                <w:szCs w:val="22"/>
                <w:lang w:val="en-US" w:eastAsia="zh-CN" w:bidi="ar"/>
              </w:rPr>
              <w:t>1</w:t>
            </w:r>
          </w:p>
        </w:tc>
        <w:tc>
          <w:tcPr>
            <w:tcW w:w="1633" w:type="dxa"/>
            <w:vAlign w:val="center"/>
          </w:tcPr>
          <w:p w14:paraId="11457114">
            <w:pPr>
              <w:pStyle w:val="50"/>
              <w:adjustRightInd w:val="0"/>
              <w:snapToGrid w:val="0"/>
              <w:spacing w:after="0" w:line="360" w:lineRule="auto"/>
              <w:ind w:left="0" w:leftChars="0" w:firstLine="0" w:firstLineChars="0"/>
              <w:jc w:val="center"/>
              <w:rPr>
                <w:rFonts w:hint="eastAsia" w:ascii="仿宋" w:hAnsi="仿宋" w:eastAsia="仿宋" w:cs="仿宋"/>
                <w:color w:val="000000"/>
                <w:kern w:val="0"/>
                <w:sz w:val="24"/>
                <w:lang w:eastAsia="zh-CN" w:bidi="ar"/>
              </w:rPr>
            </w:pPr>
            <w:r>
              <w:rPr>
                <w:rFonts w:hint="eastAsia" w:ascii="仿宋" w:hAnsi="仿宋" w:eastAsia="仿宋" w:cs="仿宋"/>
                <w:sz w:val="24"/>
                <w:lang w:val="en-US" w:eastAsia="zh-CN"/>
              </w:rPr>
              <w:t>工业</w:t>
            </w:r>
          </w:p>
        </w:tc>
        <w:tc>
          <w:tcPr>
            <w:tcW w:w="1633" w:type="dxa"/>
            <w:vAlign w:val="center"/>
          </w:tcPr>
          <w:p w14:paraId="30CF1ABD">
            <w:pPr>
              <w:spacing w:after="0" w:line="340" w:lineRule="exact"/>
              <w:jc w:val="center"/>
              <w:rPr>
                <w:rFonts w:hint="default" w:ascii="仿宋_GB2312" w:hAnsi="Times New Roman" w:eastAsia="仿宋_GB2312" w:cs="Times New Roman"/>
                <w:color w:val="auto"/>
                <w:sz w:val="24"/>
                <w:szCs w:val="24"/>
                <w:lang w:val="en-US" w:eastAsia="zh-CN"/>
              </w:rPr>
            </w:pPr>
            <w:r>
              <w:rPr>
                <w:rFonts w:eastAsia="宋体"/>
                <w:lang w:val="en-US" w:eastAsia="zh-CN"/>
              </w:rPr>
              <w:t>/</w:t>
            </w:r>
          </w:p>
        </w:tc>
        <w:tc>
          <w:tcPr>
            <w:tcW w:w="1903" w:type="dxa"/>
            <w:vAlign w:val="center"/>
          </w:tcPr>
          <w:p w14:paraId="7CD9C9CB">
            <w:pPr>
              <w:spacing w:after="0" w:line="340" w:lineRule="exact"/>
              <w:jc w:val="center"/>
              <w:rPr>
                <w:rFonts w:hint="default" w:ascii="仿宋_GB2312" w:hAnsi="Times New Roman" w:eastAsia="仿宋_GB2312" w:cs="Times New Roman"/>
                <w:color w:val="auto"/>
                <w:sz w:val="24"/>
                <w:szCs w:val="24"/>
                <w:lang w:val="en-US" w:eastAsia="zh-CN"/>
              </w:rPr>
            </w:pPr>
            <w:r>
              <w:rPr>
                <w:rFonts w:eastAsia="宋体"/>
                <w:lang w:val="en-US" w:eastAsia="zh-CN"/>
              </w:rPr>
              <w:t>/</w:t>
            </w:r>
          </w:p>
        </w:tc>
      </w:tr>
      <w:tr w14:paraId="5683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50" w:type="dxa"/>
            <w:vAlign w:val="center"/>
          </w:tcPr>
          <w:p w14:paraId="3C22431F">
            <w:pPr>
              <w:spacing w:after="0"/>
              <w:jc w:val="center"/>
              <w:textAlignment w:val="center"/>
              <w:rPr>
                <w:rFonts w:ascii="仿宋" w:hAnsi="仿宋" w:eastAsia="仿宋" w:cs="仿宋"/>
                <w:color w:val="auto"/>
                <w:kern w:val="0"/>
                <w:lang w:val="en-US" w:eastAsia="zh-CN"/>
              </w:rPr>
            </w:pPr>
            <w:r>
              <w:rPr>
                <w:rFonts w:ascii="仿宋" w:hAnsi="仿宋" w:eastAsia="仿宋" w:cs="仿宋"/>
                <w:color w:val="auto"/>
                <w:kern w:val="0"/>
                <w:lang w:bidi="ar"/>
              </w:rPr>
              <w:t>5</w:t>
            </w:r>
          </w:p>
        </w:tc>
        <w:tc>
          <w:tcPr>
            <w:tcW w:w="2551" w:type="dxa"/>
            <w:noWrap/>
            <w:vAlign w:val="center"/>
          </w:tcPr>
          <w:p w14:paraId="01FEB4BE">
            <w:pPr>
              <w:jc w:val="center"/>
              <w:textAlignment w:val="center"/>
              <w:rPr>
                <w:rFonts w:ascii="仿宋" w:hAnsi="仿宋" w:eastAsia="仿宋" w:cs="仿宋"/>
                <w:kern w:val="0"/>
                <w:sz w:val="24"/>
                <w:lang w:val="en-US" w:eastAsia="zh-CN" w:bidi="ar"/>
              </w:rPr>
            </w:pPr>
            <w:r>
              <w:rPr>
                <w:rFonts w:ascii="仿宋" w:hAnsi="仿宋" w:eastAsia="仿宋" w:cs="仿宋"/>
                <w:kern w:val="0"/>
                <w:sz w:val="22"/>
                <w:szCs w:val="22"/>
                <w:lang w:val="en-US" w:eastAsia="zh-CN" w:bidi="ar"/>
              </w:rPr>
              <w:t>业务存储</w:t>
            </w:r>
          </w:p>
        </w:tc>
        <w:tc>
          <w:tcPr>
            <w:tcW w:w="1020" w:type="dxa"/>
            <w:vAlign w:val="center"/>
          </w:tcPr>
          <w:p w14:paraId="3D28D428">
            <w:pPr>
              <w:jc w:val="center"/>
              <w:textAlignment w:val="center"/>
              <w:rPr>
                <w:rFonts w:ascii="仿宋" w:hAnsi="仿宋" w:eastAsia="仿宋" w:cs="仿宋"/>
                <w:kern w:val="0"/>
                <w:sz w:val="24"/>
                <w:lang w:bidi="ar"/>
              </w:rPr>
            </w:pPr>
            <w:r>
              <w:rPr>
                <w:rFonts w:ascii="仿宋" w:hAnsi="仿宋" w:eastAsia="仿宋" w:cs="仿宋"/>
                <w:kern w:val="0"/>
                <w:sz w:val="22"/>
                <w:szCs w:val="22"/>
                <w:lang w:val="en-US" w:eastAsia="zh-CN" w:bidi="ar"/>
              </w:rPr>
              <w:t>台</w:t>
            </w:r>
          </w:p>
        </w:tc>
        <w:tc>
          <w:tcPr>
            <w:tcW w:w="964" w:type="dxa"/>
            <w:vAlign w:val="center"/>
          </w:tcPr>
          <w:p w14:paraId="781F140E">
            <w:pPr>
              <w:jc w:val="center"/>
              <w:textAlignment w:val="center"/>
              <w:rPr>
                <w:rFonts w:ascii="仿宋" w:hAnsi="仿宋" w:eastAsia="仿宋" w:cs="仿宋"/>
                <w:kern w:val="0"/>
                <w:sz w:val="24"/>
                <w:lang w:bidi="ar"/>
              </w:rPr>
            </w:pPr>
            <w:r>
              <w:rPr>
                <w:rFonts w:ascii="仿宋" w:hAnsi="仿宋" w:eastAsia="仿宋" w:cs="仿宋"/>
                <w:kern w:val="0"/>
                <w:sz w:val="22"/>
                <w:szCs w:val="22"/>
                <w:lang w:val="en-US" w:eastAsia="zh-CN" w:bidi="ar"/>
              </w:rPr>
              <w:t>2</w:t>
            </w:r>
          </w:p>
        </w:tc>
        <w:tc>
          <w:tcPr>
            <w:tcW w:w="1633" w:type="dxa"/>
            <w:vAlign w:val="center"/>
          </w:tcPr>
          <w:p w14:paraId="72CA55E6">
            <w:pPr>
              <w:adjustRightInd w:val="0"/>
              <w:snapToGrid w:val="0"/>
              <w:spacing w:after="0" w:line="360" w:lineRule="auto"/>
              <w:jc w:val="center"/>
              <w:rPr>
                <w:rFonts w:ascii="仿宋" w:hAnsi="仿宋" w:eastAsia="仿宋" w:cs="仿宋"/>
                <w:kern w:val="0"/>
                <w:sz w:val="24"/>
                <w:lang w:bidi="ar"/>
              </w:rPr>
            </w:pPr>
            <w:r>
              <w:rPr>
                <w:rFonts w:ascii="仿宋" w:hAnsi="仿宋" w:eastAsia="仿宋" w:cs="仿宋"/>
                <w:sz w:val="24"/>
                <w:lang w:val="en-US" w:eastAsia="zh-CN"/>
              </w:rPr>
              <w:t>工业</w:t>
            </w:r>
          </w:p>
        </w:tc>
        <w:tc>
          <w:tcPr>
            <w:tcW w:w="1633" w:type="dxa"/>
            <w:vAlign w:val="center"/>
          </w:tcPr>
          <w:p w14:paraId="082BD497">
            <w:pPr>
              <w:spacing w:after="0" w:line="340" w:lineRule="exact"/>
              <w:jc w:val="center"/>
              <w:rPr>
                <w:rFonts w:hint="default" w:ascii="仿宋_GB2312" w:hAnsi="Times New Roman" w:eastAsia="仿宋_GB2312" w:cs="Times New Roman"/>
                <w:color w:val="auto"/>
                <w:sz w:val="24"/>
                <w:szCs w:val="24"/>
                <w:lang w:val="en-US" w:eastAsia="zh-CN"/>
              </w:rPr>
            </w:pPr>
            <w:r>
              <w:rPr>
                <w:rFonts w:eastAsia="宋体"/>
                <w:lang w:val="en-US" w:eastAsia="zh-CN"/>
              </w:rPr>
              <w:t>/</w:t>
            </w:r>
          </w:p>
        </w:tc>
        <w:tc>
          <w:tcPr>
            <w:tcW w:w="1903" w:type="dxa"/>
            <w:vAlign w:val="center"/>
          </w:tcPr>
          <w:p w14:paraId="5909DFB8">
            <w:pPr>
              <w:spacing w:after="0" w:line="340" w:lineRule="exact"/>
              <w:jc w:val="center"/>
              <w:rPr>
                <w:rFonts w:hint="default" w:ascii="仿宋_GB2312" w:hAnsi="Times New Roman" w:eastAsia="仿宋_GB2312" w:cs="Times New Roman"/>
                <w:color w:val="auto"/>
                <w:sz w:val="24"/>
                <w:szCs w:val="24"/>
                <w:lang w:val="en-US" w:eastAsia="zh-CN"/>
              </w:rPr>
            </w:pPr>
            <w:r>
              <w:rPr>
                <w:rFonts w:eastAsia="宋体"/>
                <w:lang w:val="en-US" w:eastAsia="zh-CN"/>
              </w:rPr>
              <w:t>/</w:t>
            </w:r>
          </w:p>
        </w:tc>
      </w:tr>
      <w:tr w14:paraId="012C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50" w:type="dxa"/>
            <w:vAlign w:val="center"/>
          </w:tcPr>
          <w:p w14:paraId="27A794B6">
            <w:pPr>
              <w:spacing w:after="0"/>
              <w:jc w:val="center"/>
              <w:textAlignment w:val="center"/>
              <w:rPr>
                <w:rFonts w:ascii="仿宋" w:hAnsi="仿宋" w:eastAsia="仿宋" w:cs="仿宋"/>
                <w:color w:val="auto"/>
                <w:kern w:val="0"/>
                <w:lang w:val="en-US" w:eastAsia="zh-CN" w:bidi="ar"/>
              </w:rPr>
            </w:pPr>
            <w:r>
              <w:rPr>
                <w:rFonts w:ascii="仿宋" w:hAnsi="仿宋" w:eastAsia="仿宋" w:cs="仿宋"/>
                <w:color w:val="auto"/>
                <w:kern w:val="0"/>
                <w:lang w:bidi="ar"/>
              </w:rPr>
              <w:t>6</w:t>
            </w:r>
          </w:p>
        </w:tc>
        <w:tc>
          <w:tcPr>
            <w:tcW w:w="2551" w:type="dxa"/>
            <w:noWrap/>
            <w:vAlign w:val="center"/>
          </w:tcPr>
          <w:p w14:paraId="46DA1B2F">
            <w:pPr>
              <w:jc w:val="center"/>
              <w:textAlignment w:val="center"/>
              <w:rPr>
                <w:rFonts w:ascii="仿宋" w:hAnsi="仿宋" w:eastAsia="仿宋" w:cs="仿宋"/>
                <w:kern w:val="0"/>
                <w:sz w:val="24"/>
                <w:lang w:val="en-US" w:eastAsia="zh-CN" w:bidi="ar"/>
              </w:rPr>
            </w:pPr>
            <w:r>
              <w:rPr>
                <w:rFonts w:ascii="仿宋" w:hAnsi="仿宋" w:eastAsia="仿宋" w:cs="仿宋"/>
                <w:kern w:val="0"/>
                <w:sz w:val="22"/>
                <w:szCs w:val="22"/>
                <w:lang w:val="en-US" w:eastAsia="zh-CN" w:bidi="ar"/>
              </w:rPr>
              <w:t>光纤交换机</w:t>
            </w:r>
          </w:p>
        </w:tc>
        <w:tc>
          <w:tcPr>
            <w:tcW w:w="1020" w:type="dxa"/>
            <w:vAlign w:val="center"/>
          </w:tcPr>
          <w:p w14:paraId="6A5604E7">
            <w:pPr>
              <w:jc w:val="center"/>
              <w:textAlignment w:val="center"/>
              <w:rPr>
                <w:rFonts w:ascii="仿宋" w:hAnsi="仿宋" w:eastAsia="仿宋" w:cs="仿宋"/>
                <w:kern w:val="0"/>
                <w:sz w:val="24"/>
                <w:lang w:bidi="ar"/>
              </w:rPr>
            </w:pPr>
            <w:r>
              <w:rPr>
                <w:rFonts w:ascii="仿宋" w:hAnsi="仿宋" w:eastAsia="仿宋" w:cs="仿宋"/>
                <w:kern w:val="0"/>
                <w:sz w:val="22"/>
                <w:szCs w:val="22"/>
                <w:lang w:val="en-US" w:eastAsia="zh-CN" w:bidi="ar"/>
              </w:rPr>
              <w:t>台</w:t>
            </w:r>
          </w:p>
        </w:tc>
        <w:tc>
          <w:tcPr>
            <w:tcW w:w="964" w:type="dxa"/>
            <w:vAlign w:val="center"/>
          </w:tcPr>
          <w:p w14:paraId="5745EDF5">
            <w:pPr>
              <w:jc w:val="center"/>
              <w:textAlignment w:val="center"/>
              <w:rPr>
                <w:rFonts w:ascii="仿宋" w:hAnsi="仿宋" w:eastAsia="仿宋" w:cs="仿宋"/>
                <w:kern w:val="0"/>
                <w:sz w:val="24"/>
                <w:lang w:bidi="ar"/>
              </w:rPr>
            </w:pPr>
            <w:r>
              <w:rPr>
                <w:rFonts w:ascii="仿宋" w:hAnsi="仿宋" w:eastAsia="仿宋" w:cs="仿宋"/>
                <w:kern w:val="0"/>
                <w:sz w:val="22"/>
                <w:szCs w:val="22"/>
                <w:lang w:val="en-US" w:eastAsia="zh-CN" w:bidi="ar"/>
              </w:rPr>
              <w:t>4</w:t>
            </w:r>
          </w:p>
        </w:tc>
        <w:tc>
          <w:tcPr>
            <w:tcW w:w="1633" w:type="dxa"/>
            <w:vAlign w:val="center"/>
          </w:tcPr>
          <w:p w14:paraId="1100E49E">
            <w:pPr>
              <w:pStyle w:val="50"/>
              <w:adjustRightInd w:val="0"/>
              <w:snapToGrid w:val="0"/>
              <w:spacing w:after="0" w:line="360" w:lineRule="auto"/>
              <w:ind w:left="0" w:leftChars="0" w:firstLine="0" w:firstLineChars="0"/>
              <w:jc w:val="center"/>
              <w:rPr>
                <w:rFonts w:hint="eastAsia" w:ascii="仿宋" w:hAnsi="仿宋" w:eastAsia="仿宋" w:cs="仿宋"/>
                <w:color w:val="000000"/>
                <w:kern w:val="0"/>
                <w:sz w:val="24"/>
                <w:lang w:bidi="ar"/>
              </w:rPr>
            </w:pPr>
            <w:r>
              <w:rPr>
                <w:rFonts w:hint="eastAsia" w:ascii="仿宋" w:hAnsi="仿宋" w:eastAsia="仿宋" w:cs="仿宋"/>
                <w:sz w:val="24"/>
                <w:lang w:val="en-US" w:eastAsia="zh-CN"/>
              </w:rPr>
              <w:t>工业</w:t>
            </w:r>
          </w:p>
        </w:tc>
        <w:tc>
          <w:tcPr>
            <w:tcW w:w="1633" w:type="dxa"/>
            <w:vAlign w:val="center"/>
          </w:tcPr>
          <w:p w14:paraId="2834277F">
            <w:pPr>
              <w:spacing w:after="0" w:line="340" w:lineRule="exact"/>
              <w:jc w:val="center"/>
              <w:rPr>
                <w:rFonts w:hint="default" w:ascii="仿宋_GB2312" w:hAnsi="Times New Roman" w:eastAsia="仿宋_GB2312" w:cs="Times New Roman"/>
                <w:color w:val="auto"/>
                <w:sz w:val="24"/>
                <w:szCs w:val="24"/>
                <w:lang w:val="en-US" w:eastAsia="zh-CN"/>
              </w:rPr>
            </w:pPr>
            <w:r>
              <w:rPr>
                <w:rFonts w:eastAsia="宋体"/>
                <w:lang w:val="en-US" w:eastAsia="zh-CN"/>
              </w:rPr>
              <w:t>/</w:t>
            </w:r>
          </w:p>
        </w:tc>
        <w:tc>
          <w:tcPr>
            <w:tcW w:w="1903" w:type="dxa"/>
            <w:vAlign w:val="center"/>
          </w:tcPr>
          <w:p w14:paraId="38C637EB">
            <w:pPr>
              <w:spacing w:after="0" w:line="340" w:lineRule="exact"/>
              <w:jc w:val="center"/>
              <w:rPr>
                <w:rFonts w:hint="default" w:ascii="仿宋_GB2312" w:hAnsi="Times New Roman" w:eastAsia="仿宋_GB2312" w:cs="Times New Roman"/>
                <w:color w:val="auto"/>
                <w:sz w:val="24"/>
                <w:szCs w:val="24"/>
                <w:lang w:val="en-US" w:eastAsia="zh-CN"/>
              </w:rPr>
            </w:pPr>
            <w:r>
              <w:rPr>
                <w:rFonts w:eastAsia="宋体"/>
                <w:lang w:val="en-US" w:eastAsia="zh-CN"/>
              </w:rPr>
              <w:t>/</w:t>
            </w:r>
          </w:p>
        </w:tc>
      </w:tr>
      <w:tr w14:paraId="3BC4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0" w:type="dxa"/>
            <w:vAlign w:val="center"/>
          </w:tcPr>
          <w:p w14:paraId="074FD2ED">
            <w:pPr>
              <w:spacing w:after="0"/>
              <w:jc w:val="center"/>
              <w:textAlignment w:val="center"/>
              <w:rPr>
                <w:rFonts w:ascii="仿宋" w:hAnsi="仿宋" w:eastAsia="仿宋" w:cs="仿宋"/>
                <w:color w:val="auto"/>
                <w:kern w:val="0"/>
                <w:lang w:val="en-US" w:eastAsia="zh-CN" w:bidi="ar"/>
              </w:rPr>
            </w:pPr>
            <w:r>
              <w:rPr>
                <w:rFonts w:ascii="仿宋" w:hAnsi="仿宋" w:eastAsia="仿宋" w:cs="仿宋"/>
                <w:color w:val="auto"/>
                <w:kern w:val="0"/>
                <w:lang w:bidi="ar"/>
              </w:rPr>
              <w:t>7</w:t>
            </w:r>
          </w:p>
        </w:tc>
        <w:tc>
          <w:tcPr>
            <w:tcW w:w="2551" w:type="dxa"/>
            <w:noWrap/>
            <w:vAlign w:val="center"/>
          </w:tcPr>
          <w:p w14:paraId="4B929476">
            <w:pPr>
              <w:jc w:val="center"/>
              <w:textAlignment w:val="center"/>
              <w:rPr>
                <w:rFonts w:ascii="仿宋" w:hAnsi="仿宋" w:eastAsia="仿宋" w:cs="仿宋"/>
                <w:kern w:val="0"/>
                <w:sz w:val="24"/>
                <w:lang w:val="en-US" w:eastAsia="zh-CN" w:bidi="ar"/>
              </w:rPr>
            </w:pPr>
            <w:r>
              <w:rPr>
                <w:rFonts w:ascii="仿宋" w:hAnsi="仿宋" w:eastAsia="仿宋" w:cs="仿宋"/>
                <w:kern w:val="0"/>
                <w:sz w:val="22"/>
                <w:szCs w:val="22"/>
                <w:lang w:val="en-US" w:eastAsia="zh-CN" w:bidi="ar"/>
              </w:rPr>
              <w:t>备份一体机</w:t>
            </w:r>
          </w:p>
        </w:tc>
        <w:tc>
          <w:tcPr>
            <w:tcW w:w="1020" w:type="dxa"/>
            <w:vAlign w:val="center"/>
          </w:tcPr>
          <w:p w14:paraId="64C0E74C">
            <w:pPr>
              <w:jc w:val="center"/>
              <w:textAlignment w:val="center"/>
              <w:rPr>
                <w:rFonts w:ascii="仿宋" w:hAnsi="仿宋" w:eastAsia="仿宋" w:cs="仿宋"/>
                <w:kern w:val="0"/>
                <w:sz w:val="24"/>
                <w:lang w:bidi="ar"/>
              </w:rPr>
            </w:pPr>
            <w:r>
              <w:rPr>
                <w:rFonts w:ascii="仿宋" w:hAnsi="仿宋" w:eastAsia="仿宋" w:cs="仿宋"/>
                <w:kern w:val="0"/>
                <w:sz w:val="22"/>
                <w:szCs w:val="22"/>
                <w:lang w:val="en-US" w:eastAsia="zh-CN" w:bidi="ar"/>
              </w:rPr>
              <w:t>台</w:t>
            </w:r>
          </w:p>
        </w:tc>
        <w:tc>
          <w:tcPr>
            <w:tcW w:w="964" w:type="dxa"/>
            <w:vAlign w:val="center"/>
          </w:tcPr>
          <w:p w14:paraId="483AC568">
            <w:pPr>
              <w:jc w:val="center"/>
              <w:textAlignment w:val="center"/>
              <w:rPr>
                <w:rFonts w:ascii="仿宋" w:hAnsi="仿宋" w:eastAsia="仿宋" w:cs="仿宋"/>
                <w:kern w:val="0"/>
                <w:sz w:val="24"/>
                <w:lang w:bidi="ar"/>
              </w:rPr>
            </w:pPr>
            <w:r>
              <w:rPr>
                <w:rFonts w:ascii="仿宋" w:hAnsi="仿宋" w:eastAsia="仿宋" w:cs="仿宋"/>
                <w:kern w:val="0"/>
                <w:sz w:val="22"/>
                <w:szCs w:val="22"/>
                <w:lang w:val="en-US" w:eastAsia="zh-CN" w:bidi="ar"/>
              </w:rPr>
              <w:t>1</w:t>
            </w:r>
          </w:p>
        </w:tc>
        <w:tc>
          <w:tcPr>
            <w:tcW w:w="1633" w:type="dxa"/>
            <w:vAlign w:val="center"/>
          </w:tcPr>
          <w:p w14:paraId="5FAEA460">
            <w:pPr>
              <w:adjustRightInd w:val="0"/>
              <w:snapToGrid w:val="0"/>
              <w:spacing w:after="0" w:line="360" w:lineRule="auto"/>
              <w:jc w:val="center"/>
              <w:rPr>
                <w:rFonts w:ascii="仿宋" w:hAnsi="仿宋" w:eastAsia="仿宋" w:cs="仿宋"/>
                <w:kern w:val="0"/>
                <w:sz w:val="24"/>
                <w:lang w:bidi="ar"/>
              </w:rPr>
            </w:pPr>
            <w:r>
              <w:rPr>
                <w:rFonts w:ascii="仿宋" w:hAnsi="仿宋" w:eastAsia="仿宋" w:cs="仿宋"/>
                <w:sz w:val="24"/>
                <w:lang w:val="en-US" w:eastAsia="zh-CN"/>
              </w:rPr>
              <w:t>工业</w:t>
            </w:r>
          </w:p>
        </w:tc>
        <w:tc>
          <w:tcPr>
            <w:tcW w:w="1633" w:type="dxa"/>
            <w:vAlign w:val="center"/>
          </w:tcPr>
          <w:p w14:paraId="19C08B3C">
            <w:pPr>
              <w:spacing w:after="0" w:line="340" w:lineRule="exact"/>
              <w:jc w:val="center"/>
              <w:rPr>
                <w:rFonts w:hint="default" w:ascii="仿宋_GB2312" w:hAnsi="Times New Roman" w:eastAsia="仿宋_GB2312" w:cs="Times New Roman"/>
                <w:color w:val="auto"/>
                <w:sz w:val="24"/>
                <w:szCs w:val="24"/>
                <w:lang w:val="en-US" w:eastAsia="zh-CN"/>
              </w:rPr>
            </w:pPr>
            <w:r>
              <w:rPr>
                <w:rFonts w:eastAsia="宋体"/>
                <w:lang w:val="en-US" w:eastAsia="zh-CN"/>
              </w:rPr>
              <w:t>/</w:t>
            </w:r>
          </w:p>
        </w:tc>
        <w:tc>
          <w:tcPr>
            <w:tcW w:w="1903" w:type="dxa"/>
            <w:vAlign w:val="center"/>
          </w:tcPr>
          <w:p w14:paraId="24AE59CC">
            <w:pPr>
              <w:spacing w:after="0" w:line="340" w:lineRule="exact"/>
              <w:jc w:val="center"/>
              <w:rPr>
                <w:rFonts w:hint="default" w:ascii="仿宋_GB2312" w:hAnsi="Times New Roman" w:eastAsia="仿宋_GB2312" w:cs="Times New Roman"/>
                <w:color w:val="auto"/>
                <w:sz w:val="24"/>
                <w:szCs w:val="24"/>
                <w:lang w:val="en-US" w:eastAsia="zh-CN"/>
              </w:rPr>
            </w:pPr>
            <w:r>
              <w:rPr>
                <w:rFonts w:eastAsia="宋体"/>
                <w:lang w:val="en-US" w:eastAsia="zh-CN"/>
              </w:rPr>
              <w:t>/</w:t>
            </w:r>
          </w:p>
        </w:tc>
      </w:tr>
      <w:tr w14:paraId="5B4C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50" w:type="dxa"/>
            <w:vAlign w:val="center"/>
          </w:tcPr>
          <w:p w14:paraId="3B7F5293">
            <w:pPr>
              <w:spacing w:after="0"/>
              <w:jc w:val="center"/>
              <w:textAlignment w:val="center"/>
              <w:rPr>
                <w:rFonts w:ascii="仿宋" w:hAnsi="仿宋" w:eastAsia="仿宋" w:cs="仿宋"/>
                <w:color w:val="auto"/>
                <w:kern w:val="0"/>
                <w:lang w:val="en-US" w:eastAsia="zh-CN" w:bidi="ar"/>
              </w:rPr>
            </w:pPr>
            <w:r>
              <w:rPr>
                <w:rFonts w:ascii="仿宋" w:hAnsi="仿宋" w:eastAsia="仿宋" w:cs="仿宋"/>
                <w:color w:val="auto"/>
                <w:kern w:val="0"/>
                <w:lang w:bidi="ar"/>
              </w:rPr>
              <w:t>8</w:t>
            </w:r>
          </w:p>
        </w:tc>
        <w:tc>
          <w:tcPr>
            <w:tcW w:w="2551" w:type="dxa"/>
            <w:noWrap/>
            <w:vAlign w:val="center"/>
          </w:tcPr>
          <w:p w14:paraId="5CFE098E">
            <w:pPr>
              <w:jc w:val="center"/>
              <w:textAlignment w:val="center"/>
              <w:rPr>
                <w:rFonts w:ascii="仿宋" w:hAnsi="仿宋" w:eastAsia="仿宋" w:cs="仿宋"/>
                <w:kern w:val="0"/>
                <w:sz w:val="24"/>
                <w:lang w:val="en-US" w:eastAsia="zh-CN" w:bidi="ar"/>
              </w:rPr>
            </w:pPr>
            <w:r>
              <w:rPr>
                <w:rFonts w:ascii="仿宋" w:hAnsi="仿宋" w:eastAsia="仿宋" w:cs="仿宋"/>
                <w:kern w:val="0"/>
                <w:sz w:val="22"/>
                <w:szCs w:val="22"/>
                <w:lang w:val="en-US" w:eastAsia="zh-CN" w:bidi="ar"/>
              </w:rPr>
              <w:t>25G交换机</w:t>
            </w:r>
          </w:p>
        </w:tc>
        <w:tc>
          <w:tcPr>
            <w:tcW w:w="1020" w:type="dxa"/>
            <w:vAlign w:val="center"/>
          </w:tcPr>
          <w:p w14:paraId="037E7AD8">
            <w:pPr>
              <w:jc w:val="center"/>
              <w:textAlignment w:val="center"/>
              <w:rPr>
                <w:rFonts w:ascii="仿宋" w:hAnsi="仿宋" w:eastAsia="仿宋" w:cs="仿宋"/>
                <w:kern w:val="0"/>
                <w:sz w:val="24"/>
                <w:lang w:bidi="ar"/>
              </w:rPr>
            </w:pPr>
            <w:r>
              <w:rPr>
                <w:rFonts w:ascii="仿宋" w:hAnsi="仿宋" w:eastAsia="仿宋" w:cs="仿宋"/>
                <w:kern w:val="0"/>
                <w:sz w:val="22"/>
                <w:szCs w:val="22"/>
                <w:lang w:val="en-US" w:eastAsia="zh-CN" w:bidi="ar"/>
              </w:rPr>
              <w:t>台</w:t>
            </w:r>
          </w:p>
        </w:tc>
        <w:tc>
          <w:tcPr>
            <w:tcW w:w="964" w:type="dxa"/>
            <w:vAlign w:val="center"/>
          </w:tcPr>
          <w:p w14:paraId="28FADE36">
            <w:pPr>
              <w:jc w:val="center"/>
              <w:textAlignment w:val="center"/>
              <w:rPr>
                <w:rFonts w:ascii="仿宋" w:hAnsi="仿宋" w:eastAsia="仿宋" w:cs="仿宋"/>
                <w:kern w:val="0"/>
                <w:sz w:val="24"/>
                <w:lang w:bidi="ar"/>
              </w:rPr>
            </w:pPr>
            <w:r>
              <w:rPr>
                <w:rFonts w:ascii="仿宋" w:hAnsi="仿宋" w:eastAsia="仿宋" w:cs="仿宋"/>
                <w:kern w:val="0"/>
                <w:sz w:val="22"/>
                <w:szCs w:val="22"/>
                <w:lang w:val="en-US" w:eastAsia="zh-CN" w:bidi="ar"/>
              </w:rPr>
              <w:t>4</w:t>
            </w:r>
          </w:p>
        </w:tc>
        <w:tc>
          <w:tcPr>
            <w:tcW w:w="1633" w:type="dxa"/>
            <w:vAlign w:val="center"/>
          </w:tcPr>
          <w:p w14:paraId="09BD6483">
            <w:pPr>
              <w:pStyle w:val="50"/>
              <w:adjustRightInd w:val="0"/>
              <w:snapToGrid w:val="0"/>
              <w:spacing w:after="0" w:line="360" w:lineRule="auto"/>
              <w:ind w:left="0" w:leftChars="0" w:firstLine="0" w:firstLineChars="0"/>
              <w:jc w:val="center"/>
              <w:rPr>
                <w:rFonts w:hint="eastAsia" w:ascii="仿宋" w:hAnsi="仿宋" w:eastAsia="仿宋" w:cs="仿宋"/>
                <w:color w:val="000000"/>
                <w:kern w:val="0"/>
                <w:sz w:val="24"/>
                <w:lang w:bidi="ar"/>
              </w:rPr>
            </w:pPr>
            <w:r>
              <w:rPr>
                <w:rFonts w:hint="eastAsia" w:ascii="仿宋" w:hAnsi="仿宋" w:eastAsia="仿宋" w:cs="仿宋"/>
                <w:sz w:val="24"/>
                <w:lang w:val="en-US" w:eastAsia="zh-CN"/>
              </w:rPr>
              <w:t>工业</w:t>
            </w:r>
          </w:p>
        </w:tc>
        <w:tc>
          <w:tcPr>
            <w:tcW w:w="1633" w:type="dxa"/>
            <w:vAlign w:val="center"/>
          </w:tcPr>
          <w:p w14:paraId="6A4625B0">
            <w:pPr>
              <w:spacing w:after="0" w:line="340" w:lineRule="exact"/>
              <w:jc w:val="center"/>
              <w:rPr>
                <w:rFonts w:hint="default" w:ascii="仿宋_GB2312" w:hAnsi="Times New Roman" w:eastAsia="仿宋_GB2312" w:cs="Times New Roman"/>
                <w:color w:val="auto"/>
                <w:sz w:val="24"/>
                <w:szCs w:val="24"/>
                <w:lang w:val="en-US" w:eastAsia="zh-CN"/>
              </w:rPr>
            </w:pPr>
            <w:r>
              <w:rPr>
                <w:rFonts w:eastAsia="宋体"/>
                <w:lang w:val="en-US" w:eastAsia="zh-CN"/>
              </w:rPr>
              <w:t>/</w:t>
            </w:r>
          </w:p>
        </w:tc>
        <w:tc>
          <w:tcPr>
            <w:tcW w:w="1903" w:type="dxa"/>
            <w:vAlign w:val="center"/>
          </w:tcPr>
          <w:p w14:paraId="4D8DEFB1">
            <w:pPr>
              <w:spacing w:after="0" w:line="340" w:lineRule="exact"/>
              <w:jc w:val="center"/>
              <w:rPr>
                <w:rFonts w:hint="default" w:ascii="仿宋_GB2312" w:hAnsi="Times New Roman" w:eastAsia="仿宋_GB2312" w:cs="Times New Roman"/>
                <w:color w:val="auto"/>
                <w:sz w:val="24"/>
                <w:szCs w:val="24"/>
                <w:lang w:val="en-US" w:eastAsia="zh-CN"/>
              </w:rPr>
            </w:pPr>
            <w:r>
              <w:rPr>
                <w:rFonts w:eastAsia="宋体"/>
                <w:lang w:val="en-US" w:eastAsia="zh-CN"/>
              </w:rPr>
              <w:t>/</w:t>
            </w:r>
          </w:p>
        </w:tc>
      </w:tr>
      <w:tr w14:paraId="76D1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850" w:type="dxa"/>
            <w:vAlign w:val="center"/>
          </w:tcPr>
          <w:p w14:paraId="767BA036">
            <w:pPr>
              <w:spacing w:after="0"/>
              <w:jc w:val="center"/>
              <w:textAlignment w:val="center"/>
              <w:rPr>
                <w:rFonts w:ascii="仿宋" w:hAnsi="仿宋" w:eastAsia="仿宋" w:cs="仿宋"/>
                <w:color w:val="auto"/>
                <w:kern w:val="0"/>
                <w:lang w:val="en-US" w:eastAsia="zh-CN" w:bidi="ar"/>
              </w:rPr>
            </w:pPr>
            <w:r>
              <w:rPr>
                <w:rFonts w:ascii="仿宋" w:hAnsi="仿宋" w:eastAsia="仿宋" w:cs="仿宋"/>
                <w:color w:val="auto"/>
                <w:kern w:val="0"/>
                <w:lang w:bidi="ar"/>
              </w:rPr>
              <w:t>9</w:t>
            </w:r>
          </w:p>
        </w:tc>
        <w:tc>
          <w:tcPr>
            <w:tcW w:w="2551" w:type="dxa"/>
            <w:noWrap/>
            <w:vAlign w:val="center"/>
          </w:tcPr>
          <w:p w14:paraId="0941DB29">
            <w:pPr>
              <w:jc w:val="center"/>
              <w:textAlignment w:val="center"/>
              <w:rPr>
                <w:rFonts w:ascii="仿宋" w:hAnsi="仿宋" w:eastAsia="仿宋" w:cs="仿宋"/>
                <w:kern w:val="0"/>
                <w:sz w:val="24"/>
                <w:lang w:val="en-US" w:eastAsia="zh-CN" w:bidi="ar"/>
              </w:rPr>
            </w:pPr>
            <w:r>
              <w:rPr>
                <w:rFonts w:ascii="仿宋" w:hAnsi="仿宋" w:eastAsia="仿宋" w:cs="仿宋"/>
                <w:kern w:val="0"/>
                <w:sz w:val="22"/>
                <w:szCs w:val="22"/>
                <w:lang w:val="en-US" w:eastAsia="zh-CN" w:bidi="ar"/>
              </w:rPr>
              <w:t>内网&amp;外网准入系统</w:t>
            </w:r>
          </w:p>
        </w:tc>
        <w:tc>
          <w:tcPr>
            <w:tcW w:w="1020" w:type="dxa"/>
            <w:vAlign w:val="center"/>
          </w:tcPr>
          <w:p w14:paraId="18C0A814">
            <w:pPr>
              <w:jc w:val="center"/>
              <w:textAlignment w:val="center"/>
              <w:rPr>
                <w:rFonts w:ascii="仿宋" w:hAnsi="仿宋" w:eastAsia="仿宋" w:cs="仿宋"/>
                <w:kern w:val="0"/>
                <w:sz w:val="24"/>
                <w:lang w:bidi="ar"/>
              </w:rPr>
            </w:pPr>
            <w:r>
              <w:rPr>
                <w:rFonts w:ascii="仿宋" w:hAnsi="仿宋" w:eastAsia="仿宋" w:cs="仿宋"/>
                <w:kern w:val="0"/>
                <w:sz w:val="22"/>
                <w:szCs w:val="22"/>
                <w:lang w:val="en-US" w:eastAsia="zh-CN" w:bidi="ar"/>
              </w:rPr>
              <w:t>项</w:t>
            </w:r>
          </w:p>
        </w:tc>
        <w:tc>
          <w:tcPr>
            <w:tcW w:w="964" w:type="dxa"/>
            <w:vAlign w:val="center"/>
          </w:tcPr>
          <w:p w14:paraId="3249497A">
            <w:pPr>
              <w:jc w:val="center"/>
              <w:textAlignment w:val="center"/>
              <w:rPr>
                <w:rFonts w:ascii="仿宋" w:hAnsi="仿宋" w:eastAsia="仿宋" w:cs="仿宋"/>
                <w:kern w:val="0"/>
                <w:sz w:val="24"/>
                <w:lang w:bidi="ar"/>
              </w:rPr>
            </w:pPr>
            <w:r>
              <w:rPr>
                <w:rFonts w:ascii="仿宋" w:hAnsi="仿宋" w:eastAsia="仿宋" w:cs="仿宋"/>
                <w:kern w:val="0"/>
                <w:sz w:val="22"/>
                <w:szCs w:val="22"/>
                <w:lang w:val="en-US" w:eastAsia="zh-CN" w:bidi="ar"/>
              </w:rPr>
              <w:t>1</w:t>
            </w:r>
          </w:p>
        </w:tc>
        <w:tc>
          <w:tcPr>
            <w:tcW w:w="1633" w:type="dxa"/>
            <w:vAlign w:val="center"/>
          </w:tcPr>
          <w:p w14:paraId="03171699">
            <w:pPr>
              <w:adjustRightInd w:val="0"/>
              <w:snapToGrid w:val="0"/>
              <w:spacing w:after="0" w:line="360" w:lineRule="auto"/>
              <w:jc w:val="center"/>
              <w:rPr>
                <w:rFonts w:ascii="仿宋" w:hAnsi="仿宋" w:eastAsia="仿宋" w:cs="仿宋"/>
                <w:kern w:val="0"/>
                <w:sz w:val="24"/>
                <w:lang w:bidi="ar"/>
              </w:rPr>
            </w:pPr>
            <w:r>
              <w:rPr>
                <w:rFonts w:ascii="仿宋" w:hAnsi="仿宋" w:eastAsia="仿宋" w:cs="仿宋"/>
                <w:sz w:val="24"/>
                <w:lang w:val="en-US" w:eastAsia="zh-CN"/>
              </w:rPr>
              <w:t>工业</w:t>
            </w:r>
          </w:p>
        </w:tc>
        <w:tc>
          <w:tcPr>
            <w:tcW w:w="1633" w:type="dxa"/>
            <w:vAlign w:val="center"/>
          </w:tcPr>
          <w:p w14:paraId="437B3B12">
            <w:pPr>
              <w:spacing w:after="0" w:line="340" w:lineRule="exact"/>
              <w:jc w:val="center"/>
              <w:rPr>
                <w:rFonts w:hint="default" w:ascii="仿宋_GB2312" w:hAnsi="Times New Roman" w:eastAsia="仿宋_GB2312" w:cs="Times New Roman"/>
                <w:color w:val="auto"/>
                <w:sz w:val="24"/>
                <w:szCs w:val="24"/>
                <w:lang w:val="en-US" w:eastAsia="zh-CN"/>
              </w:rPr>
            </w:pPr>
            <w:r>
              <w:rPr>
                <w:rFonts w:eastAsia="宋体"/>
                <w:lang w:val="en-US" w:eastAsia="zh-CN"/>
              </w:rPr>
              <w:t>/</w:t>
            </w:r>
          </w:p>
        </w:tc>
        <w:tc>
          <w:tcPr>
            <w:tcW w:w="1903" w:type="dxa"/>
            <w:vAlign w:val="center"/>
          </w:tcPr>
          <w:p w14:paraId="5143972C">
            <w:pPr>
              <w:spacing w:after="0" w:line="340" w:lineRule="exact"/>
              <w:jc w:val="center"/>
              <w:rPr>
                <w:rFonts w:hint="default" w:ascii="仿宋_GB2312" w:hAnsi="Times New Roman" w:eastAsia="仿宋_GB2312" w:cs="Times New Roman"/>
                <w:color w:val="auto"/>
                <w:sz w:val="24"/>
                <w:szCs w:val="24"/>
                <w:lang w:val="en-US" w:eastAsia="zh-CN"/>
              </w:rPr>
            </w:pPr>
            <w:r>
              <w:rPr>
                <w:rFonts w:eastAsia="宋体"/>
                <w:lang w:val="en-US" w:eastAsia="zh-CN"/>
              </w:rPr>
              <w:t>/</w:t>
            </w:r>
          </w:p>
        </w:tc>
      </w:tr>
      <w:tr w14:paraId="22B5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50" w:type="dxa"/>
            <w:vAlign w:val="center"/>
          </w:tcPr>
          <w:p w14:paraId="26682C8D">
            <w:pPr>
              <w:spacing w:after="0"/>
              <w:jc w:val="center"/>
              <w:textAlignment w:val="center"/>
              <w:rPr>
                <w:rFonts w:ascii="仿宋" w:hAnsi="仿宋" w:eastAsia="仿宋" w:cs="仿宋"/>
                <w:color w:val="auto"/>
                <w:kern w:val="0"/>
                <w:lang w:val="en-US" w:eastAsia="zh-CN" w:bidi="ar"/>
              </w:rPr>
            </w:pPr>
            <w:r>
              <w:rPr>
                <w:rFonts w:ascii="仿宋" w:hAnsi="仿宋" w:eastAsia="仿宋" w:cs="仿宋"/>
                <w:color w:val="auto"/>
                <w:kern w:val="0"/>
                <w:lang w:val="en-US" w:eastAsia="zh-CN" w:bidi="ar"/>
              </w:rPr>
              <w:t>10</w:t>
            </w:r>
          </w:p>
        </w:tc>
        <w:tc>
          <w:tcPr>
            <w:tcW w:w="2551" w:type="dxa"/>
            <w:noWrap/>
            <w:vAlign w:val="center"/>
          </w:tcPr>
          <w:p w14:paraId="5B5DD3F7">
            <w:pPr>
              <w:jc w:val="center"/>
              <w:textAlignment w:val="center"/>
              <w:rPr>
                <w:rFonts w:ascii="仿宋" w:hAnsi="仿宋" w:eastAsia="仿宋" w:cs="仿宋"/>
                <w:kern w:val="0"/>
                <w:sz w:val="24"/>
                <w:lang w:bidi="ar"/>
              </w:rPr>
            </w:pPr>
            <w:r>
              <w:rPr>
                <w:rFonts w:ascii="仿宋" w:hAnsi="仿宋" w:eastAsia="仿宋" w:cs="仿宋"/>
                <w:kern w:val="0"/>
                <w:sz w:val="22"/>
                <w:szCs w:val="22"/>
                <w:lang w:val="en-US" w:eastAsia="zh-CN" w:bidi="ar"/>
              </w:rPr>
              <w:t>数据中心防火墙</w:t>
            </w:r>
          </w:p>
        </w:tc>
        <w:tc>
          <w:tcPr>
            <w:tcW w:w="1020" w:type="dxa"/>
            <w:vAlign w:val="center"/>
          </w:tcPr>
          <w:p w14:paraId="30EC2D3D">
            <w:pPr>
              <w:jc w:val="center"/>
              <w:textAlignment w:val="center"/>
              <w:rPr>
                <w:rFonts w:ascii="仿宋" w:hAnsi="仿宋" w:eastAsia="仿宋" w:cs="仿宋"/>
                <w:kern w:val="0"/>
                <w:sz w:val="24"/>
                <w:lang w:bidi="ar"/>
              </w:rPr>
            </w:pPr>
            <w:r>
              <w:rPr>
                <w:rFonts w:ascii="仿宋" w:hAnsi="仿宋" w:eastAsia="仿宋" w:cs="仿宋"/>
                <w:kern w:val="0"/>
                <w:sz w:val="22"/>
                <w:szCs w:val="22"/>
                <w:lang w:val="en-US" w:eastAsia="zh-CN" w:bidi="ar"/>
              </w:rPr>
              <w:t>台</w:t>
            </w:r>
          </w:p>
        </w:tc>
        <w:tc>
          <w:tcPr>
            <w:tcW w:w="964" w:type="dxa"/>
            <w:vAlign w:val="center"/>
          </w:tcPr>
          <w:p w14:paraId="038C483F">
            <w:pPr>
              <w:jc w:val="center"/>
              <w:textAlignment w:val="center"/>
              <w:rPr>
                <w:rFonts w:ascii="仿宋" w:hAnsi="仿宋" w:eastAsia="仿宋" w:cs="仿宋"/>
                <w:kern w:val="0"/>
                <w:sz w:val="24"/>
                <w:lang w:bidi="ar"/>
              </w:rPr>
            </w:pPr>
            <w:r>
              <w:rPr>
                <w:rFonts w:ascii="仿宋" w:hAnsi="仿宋" w:eastAsia="仿宋" w:cs="仿宋"/>
                <w:kern w:val="0"/>
                <w:sz w:val="22"/>
                <w:szCs w:val="22"/>
                <w:lang w:val="en-US" w:eastAsia="zh-CN" w:bidi="ar"/>
              </w:rPr>
              <w:t>2</w:t>
            </w:r>
          </w:p>
        </w:tc>
        <w:tc>
          <w:tcPr>
            <w:tcW w:w="1633" w:type="dxa"/>
            <w:vAlign w:val="center"/>
          </w:tcPr>
          <w:p w14:paraId="25D7389C">
            <w:pPr>
              <w:adjustRightInd w:val="0"/>
              <w:snapToGrid w:val="0"/>
              <w:spacing w:after="0" w:line="360" w:lineRule="auto"/>
              <w:jc w:val="center"/>
              <w:rPr>
                <w:rFonts w:ascii="仿宋" w:hAnsi="仿宋" w:eastAsia="仿宋" w:cs="仿宋"/>
                <w:kern w:val="0"/>
                <w:sz w:val="24"/>
                <w:lang w:eastAsia="zh-CN" w:bidi="ar"/>
              </w:rPr>
            </w:pPr>
            <w:r>
              <w:rPr>
                <w:rFonts w:ascii="仿宋" w:hAnsi="仿宋" w:eastAsia="仿宋" w:cs="仿宋"/>
                <w:sz w:val="24"/>
                <w:lang w:val="en-US" w:eastAsia="zh-CN"/>
              </w:rPr>
              <w:t>工业</w:t>
            </w:r>
          </w:p>
        </w:tc>
        <w:tc>
          <w:tcPr>
            <w:tcW w:w="1633" w:type="dxa"/>
            <w:vAlign w:val="center"/>
          </w:tcPr>
          <w:p w14:paraId="30442948">
            <w:pPr>
              <w:spacing w:after="0" w:line="340" w:lineRule="exact"/>
              <w:jc w:val="center"/>
              <w:rPr>
                <w:rFonts w:eastAsia="宋体"/>
                <w:lang w:val="en-US" w:eastAsia="zh-CN"/>
              </w:rPr>
            </w:pPr>
            <w:r>
              <w:rPr>
                <w:rFonts w:eastAsia="宋体"/>
                <w:lang w:val="en-US" w:eastAsia="zh-CN"/>
              </w:rPr>
              <w:t>/</w:t>
            </w:r>
          </w:p>
        </w:tc>
        <w:tc>
          <w:tcPr>
            <w:tcW w:w="1903" w:type="dxa"/>
            <w:vAlign w:val="center"/>
          </w:tcPr>
          <w:p w14:paraId="4660D4B1">
            <w:pPr>
              <w:spacing w:after="0" w:line="340" w:lineRule="exact"/>
              <w:jc w:val="center"/>
              <w:rPr>
                <w:rFonts w:eastAsia="宋体"/>
                <w:lang w:val="en-US" w:eastAsia="zh-CN"/>
              </w:rPr>
            </w:pPr>
            <w:r>
              <w:rPr>
                <w:rFonts w:eastAsia="宋体"/>
                <w:lang w:val="en-US" w:eastAsia="zh-CN"/>
              </w:rPr>
              <w:t>/</w:t>
            </w:r>
          </w:p>
        </w:tc>
      </w:tr>
      <w:tr w14:paraId="5CC5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50" w:type="dxa"/>
            <w:vAlign w:val="center"/>
          </w:tcPr>
          <w:p w14:paraId="7D1CA95D">
            <w:pPr>
              <w:spacing w:after="0"/>
              <w:jc w:val="center"/>
              <w:textAlignment w:val="center"/>
              <w:rPr>
                <w:rFonts w:ascii="仿宋" w:hAnsi="仿宋" w:eastAsia="仿宋" w:cs="仿宋"/>
                <w:color w:val="auto"/>
                <w:kern w:val="0"/>
                <w:lang w:val="en-US" w:eastAsia="zh-CN" w:bidi="ar"/>
              </w:rPr>
            </w:pPr>
            <w:r>
              <w:rPr>
                <w:rFonts w:ascii="仿宋" w:hAnsi="仿宋" w:eastAsia="仿宋" w:cs="仿宋"/>
                <w:color w:val="auto"/>
                <w:kern w:val="0"/>
                <w:lang w:val="en-US" w:eastAsia="zh-CN" w:bidi="ar"/>
              </w:rPr>
              <w:t>11</w:t>
            </w:r>
          </w:p>
        </w:tc>
        <w:tc>
          <w:tcPr>
            <w:tcW w:w="2551" w:type="dxa"/>
            <w:noWrap/>
            <w:vAlign w:val="center"/>
          </w:tcPr>
          <w:p w14:paraId="7665DF6E">
            <w:pPr>
              <w:jc w:val="center"/>
              <w:textAlignment w:val="center"/>
              <w:rPr>
                <w:rFonts w:ascii="仿宋" w:hAnsi="仿宋" w:eastAsia="仿宋" w:cs="仿宋"/>
                <w:kern w:val="0"/>
                <w:sz w:val="24"/>
                <w:lang w:bidi="ar"/>
              </w:rPr>
            </w:pPr>
            <w:r>
              <w:rPr>
                <w:rFonts w:ascii="仿宋" w:hAnsi="仿宋" w:eastAsia="仿宋" w:cs="仿宋"/>
                <w:kern w:val="0"/>
                <w:sz w:val="22"/>
                <w:szCs w:val="22"/>
                <w:lang w:val="en-US" w:eastAsia="zh-CN" w:bidi="ar"/>
              </w:rPr>
              <w:t>WAF</w:t>
            </w:r>
          </w:p>
        </w:tc>
        <w:tc>
          <w:tcPr>
            <w:tcW w:w="1020" w:type="dxa"/>
            <w:vAlign w:val="center"/>
          </w:tcPr>
          <w:p w14:paraId="2CF972E1">
            <w:pPr>
              <w:jc w:val="center"/>
              <w:textAlignment w:val="center"/>
              <w:rPr>
                <w:rFonts w:ascii="仿宋" w:hAnsi="仿宋" w:eastAsia="仿宋" w:cs="仿宋"/>
                <w:kern w:val="0"/>
                <w:sz w:val="24"/>
                <w:lang w:bidi="ar"/>
              </w:rPr>
            </w:pPr>
            <w:r>
              <w:rPr>
                <w:rFonts w:ascii="仿宋" w:hAnsi="仿宋" w:eastAsia="仿宋" w:cs="仿宋"/>
                <w:kern w:val="0"/>
                <w:sz w:val="22"/>
                <w:szCs w:val="22"/>
                <w:lang w:val="en-US" w:eastAsia="zh-CN" w:bidi="ar"/>
              </w:rPr>
              <w:t>台</w:t>
            </w:r>
          </w:p>
        </w:tc>
        <w:tc>
          <w:tcPr>
            <w:tcW w:w="964" w:type="dxa"/>
            <w:vAlign w:val="center"/>
          </w:tcPr>
          <w:p w14:paraId="47EC9FF6">
            <w:pPr>
              <w:jc w:val="center"/>
              <w:textAlignment w:val="center"/>
              <w:rPr>
                <w:rFonts w:ascii="仿宋" w:hAnsi="仿宋" w:eastAsia="仿宋" w:cs="仿宋"/>
                <w:kern w:val="0"/>
                <w:sz w:val="24"/>
                <w:lang w:bidi="ar"/>
              </w:rPr>
            </w:pPr>
            <w:r>
              <w:rPr>
                <w:rFonts w:ascii="仿宋" w:hAnsi="仿宋" w:eastAsia="仿宋" w:cs="仿宋"/>
                <w:kern w:val="0"/>
                <w:sz w:val="22"/>
                <w:szCs w:val="22"/>
                <w:lang w:val="en-US" w:eastAsia="zh-CN" w:bidi="ar"/>
              </w:rPr>
              <w:t>1</w:t>
            </w:r>
          </w:p>
        </w:tc>
        <w:tc>
          <w:tcPr>
            <w:tcW w:w="1633" w:type="dxa"/>
            <w:vAlign w:val="center"/>
          </w:tcPr>
          <w:p w14:paraId="458C8C1A">
            <w:pPr>
              <w:pStyle w:val="50"/>
              <w:adjustRightInd w:val="0"/>
              <w:snapToGrid w:val="0"/>
              <w:spacing w:after="0" w:line="360" w:lineRule="auto"/>
              <w:ind w:left="0" w:leftChars="0" w:firstLine="0" w:firstLineChars="0"/>
              <w:jc w:val="center"/>
              <w:rPr>
                <w:rFonts w:hint="eastAsia" w:ascii="仿宋" w:hAnsi="仿宋" w:eastAsia="仿宋" w:cs="仿宋"/>
                <w:color w:val="000000"/>
                <w:kern w:val="0"/>
                <w:sz w:val="24"/>
                <w:lang w:eastAsia="zh-CN" w:bidi="ar"/>
              </w:rPr>
            </w:pPr>
            <w:r>
              <w:rPr>
                <w:rFonts w:hint="eastAsia" w:ascii="仿宋" w:hAnsi="仿宋" w:eastAsia="仿宋" w:cs="仿宋"/>
                <w:sz w:val="24"/>
                <w:lang w:val="en-US" w:eastAsia="zh-CN"/>
              </w:rPr>
              <w:t>工业</w:t>
            </w:r>
          </w:p>
        </w:tc>
        <w:tc>
          <w:tcPr>
            <w:tcW w:w="1633" w:type="dxa"/>
            <w:vAlign w:val="center"/>
          </w:tcPr>
          <w:p w14:paraId="4BE2C464">
            <w:pPr>
              <w:spacing w:after="0" w:line="340" w:lineRule="exact"/>
              <w:jc w:val="center"/>
              <w:rPr>
                <w:rFonts w:eastAsia="宋体"/>
                <w:lang w:val="en-US" w:eastAsia="zh-CN"/>
              </w:rPr>
            </w:pPr>
            <w:r>
              <w:rPr>
                <w:rFonts w:eastAsia="宋体"/>
                <w:lang w:val="en-US" w:eastAsia="zh-CN"/>
              </w:rPr>
              <w:t>/</w:t>
            </w:r>
          </w:p>
        </w:tc>
        <w:tc>
          <w:tcPr>
            <w:tcW w:w="1903" w:type="dxa"/>
            <w:vAlign w:val="center"/>
          </w:tcPr>
          <w:p w14:paraId="27CB0CBB">
            <w:pPr>
              <w:spacing w:after="0" w:line="340" w:lineRule="exact"/>
              <w:jc w:val="center"/>
              <w:rPr>
                <w:rFonts w:eastAsia="宋体"/>
                <w:lang w:val="en-US" w:eastAsia="zh-CN"/>
              </w:rPr>
            </w:pPr>
            <w:r>
              <w:rPr>
                <w:rFonts w:eastAsia="宋体"/>
                <w:lang w:val="en-US" w:eastAsia="zh-CN"/>
              </w:rPr>
              <w:t>/</w:t>
            </w:r>
          </w:p>
        </w:tc>
      </w:tr>
      <w:tr w14:paraId="3AAD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554" w:type="dxa"/>
            <w:gridSpan w:val="7"/>
            <w:vAlign w:val="center"/>
          </w:tcPr>
          <w:p w14:paraId="65A8018B">
            <w:pPr>
              <w:spacing w:after="0" w:line="340" w:lineRule="exact"/>
              <w:jc w:val="center"/>
              <w:rPr>
                <w:rFonts w:eastAsia="宋体"/>
                <w:lang w:val="en-US" w:eastAsia="zh-CN"/>
              </w:rPr>
            </w:pPr>
          </w:p>
        </w:tc>
      </w:tr>
      <w:tr w14:paraId="2A97B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50" w:type="dxa"/>
            <w:vAlign w:val="center"/>
          </w:tcPr>
          <w:p w14:paraId="371CFC12">
            <w:pPr>
              <w:spacing w:after="0"/>
              <w:jc w:val="center"/>
              <w:textAlignment w:val="center"/>
              <w:rPr>
                <w:rFonts w:ascii="仿宋" w:hAnsi="仿宋" w:eastAsia="仿宋" w:cs="仿宋"/>
                <w:color w:val="auto"/>
                <w:kern w:val="0"/>
                <w:lang w:val="en-US" w:eastAsia="zh-CN" w:bidi="ar"/>
              </w:rPr>
            </w:pPr>
            <w:r>
              <w:rPr>
                <w:rFonts w:ascii="仿宋" w:hAnsi="仿宋" w:eastAsia="仿宋" w:cs="仿宋"/>
                <w:color w:val="auto"/>
                <w:kern w:val="0"/>
                <w:lang w:val="en-US" w:eastAsia="zh-CN" w:bidi="ar"/>
              </w:rPr>
              <w:t>12</w:t>
            </w:r>
          </w:p>
        </w:tc>
        <w:tc>
          <w:tcPr>
            <w:tcW w:w="2551" w:type="dxa"/>
            <w:noWrap/>
            <w:vAlign w:val="center"/>
          </w:tcPr>
          <w:p w14:paraId="56269EE9">
            <w:pPr>
              <w:jc w:val="center"/>
              <w:textAlignment w:val="center"/>
              <w:rPr>
                <w:rFonts w:ascii="仿宋" w:hAnsi="仿宋" w:eastAsia="仿宋" w:cs="仿宋"/>
                <w:kern w:val="0"/>
                <w:sz w:val="24"/>
                <w:lang w:bidi="ar"/>
              </w:rPr>
            </w:pPr>
            <w:r>
              <w:rPr>
                <w:rFonts w:ascii="仿宋" w:hAnsi="仿宋" w:eastAsia="仿宋" w:cs="仿宋"/>
                <w:kern w:val="0"/>
                <w:sz w:val="22"/>
                <w:szCs w:val="22"/>
                <w:lang w:val="en-US" w:eastAsia="zh-CN" w:bidi="ar"/>
              </w:rPr>
              <w:t>集成服务</w:t>
            </w:r>
          </w:p>
        </w:tc>
        <w:tc>
          <w:tcPr>
            <w:tcW w:w="1020" w:type="dxa"/>
            <w:vAlign w:val="center"/>
          </w:tcPr>
          <w:p w14:paraId="3C034E0F">
            <w:pPr>
              <w:pStyle w:val="50"/>
              <w:adjustRightInd w:val="0"/>
              <w:snapToGrid w:val="0"/>
              <w:spacing w:after="0" w:line="360" w:lineRule="auto"/>
              <w:ind w:left="0" w:leftChars="0" w:firstLine="0" w:firstLineChars="0"/>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2"/>
                <w:szCs w:val="22"/>
                <w:lang w:val="en-US" w:eastAsia="zh-CN" w:bidi="ar"/>
              </w:rPr>
              <w:t>项</w:t>
            </w:r>
          </w:p>
        </w:tc>
        <w:tc>
          <w:tcPr>
            <w:tcW w:w="964" w:type="dxa"/>
            <w:vAlign w:val="center"/>
          </w:tcPr>
          <w:p w14:paraId="33907CF0">
            <w:pPr>
              <w:pStyle w:val="50"/>
              <w:adjustRightInd w:val="0"/>
              <w:snapToGrid w:val="0"/>
              <w:spacing w:after="0" w:line="360" w:lineRule="auto"/>
              <w:ind w:left="0" w:leftChars="0" w:firstLine="0" w:firstLineChars="0"/>
              <w:jc w:val="center"/>
              <w:rPr>
                <w:rFonts w:hint="eastAsia" w:ascii="仿宋" w:hAnsi="仿宋" w:eastAsia="仿宋" w:cs="仿宋"/>
                <w:color w:val="000000"/>
                <w:kern w:val="0"/>
                <w:sz w:val="24"/>
                <w:lang w:val="en-US" w:eastAsia="zh-CN" w:bidi="ar"/>
              </w:rPr>
            </w:pPr>
            <w:r>
              <w:rPr>
                <w:rFonts w:hint="eastAsia" w:ascii="仿宋" w:hAnsi="仿宋" w:eastAsia="仿宋" w:cs="仿宋"/>
                <w:color w:val="000000"/>
                <w:kern w:val="0"/>
                <w:sz w:val="24"/>
                <w:lang w:val="en-US" w:eastAsia="zh-CN" w:bidi="ar"/>
              </w:rPr>
              <w:t>1</w:t>
            </w:r>
          </w:p>
        </w:tc>
        <w:tc>
          <w:tcPr>
            <w:tcW w:w="1633" w:type="dxa"/>
            <w:vAlign w:val="center"/>
          </w:tcPr>
          <w:p w14:paraId="17D03F69">
            <w:pPr>
              <w:pStyle w:val="50"/>
              <w:adjustRightInd w:val="0"/>
              <w:snapToGrid w:val="0"/>
              <w:spacing w:after="0" w:line="360" w:lineRule="auto"/>
              <w:ind w:left="0" w:leftChars="0" w:firstLine="0" w:firstLineChars="0"/>
              <w:jc w:val="center"/>
              <w:rPr>
                <w:rFonts w:hint="eastAsia" w:ascii="仿宋" w:hAnsi="仿宋" w:eastAsia="仿宋" w:cs="仿宋"/>
                <w:color w:val="000000"/>
                <w:kern w:val="0"/>
                <w:sz w:val="24"/>
                <w:lang w:eastAsia="zh-CN" w:bidi="ar"/>
              </w:rPr>
            </w:pPr>
            <w:r>
              <w:rPr>
                <w:rFonts w:eastAsia="宋体"/>
                <w:lang w:val="en-US" w:eastAsia="zh-CN"/>
              </w:rPr>
              <w:t>/</w:t>
            </w:r>
          </w:p>
        </w:tc>
        <w:tc>
          <w:tcPr>
            <w:tcW w:w="1633" w:type="dxa"/>
            <w:vAlign w:val="center"/>
          </w:tcPr>
          <w:p w14:paraId="4233C5CB">
            <w:pPr>
              <w:spacing w:after="0" w:line="340" w:lineRule="exact"/>
              <w:jc w:val="center"/>
              <w:rPr>
                <w:rFonts w:eastAsia="宋体"/>
                <w:lang w:val="en-US" w:eastAsia="zh-CN"/>
              </w:rPr>
            </w:pPr>
            <w:r>
              <w:rPr>
                <w:rFonts w:eastAsia="宋体"/>
                <w:lang w:val="en-US" w:eastAsia="zh-CN"/>
              </w:rPr>
              <w:t>/</w:t>
            </w:r>
          </w:p>
        </w:tc>
        <w:tc>
          <w:tcPr>
            <w:tcW w:w="1903" w:type="dxa"/>
            <w:vAlign w:val="center"/>
          </w:tcPr>
          <w:p w14:paraId="782C9822">
            <w:pPr>
              <w:spacing w:after="0" w:line="340" w:lineRule="exact"/>
              <w:jc w:val="center"/>
              <w:rPr>
                <w:rFonts w:eastAsia="宋体"/>
                <w:lang w:val="en-US" w:eastAsia="zh-CN"/>
              </w:rPr>
            </w:pPr>
            <w:r>
              <w:rPr>
                <w:rFonts w:eastAsia="宋体"/>
                <w:lang w:val="en-US" w:eastAsia="zh-CN"/>
              </w:rPr>
              <w:t>/</w:t>
            </w:r>
          </w:p>
        </w:tc>
      </w:tr>
      <w:tr w14:paraId="1346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50" w:type="dxa"/>
            <w:vAlign w:val="center"/>
          </w:tcPr>
          <w:p w14:paraId="3AC57834">
            <w:pPr>
              <w:spacing w:after="0"/>
              <w:jc w:val="center"/>
              <w:textAlignment w:val="center"/>
              <w:rPr>
                <w:rFonts w:ascii="仿宋" w:hAnsi="仿宋" w:eastAsia="仿宋" w:cs="仿宋"/>
                <w:color w:val="auto"/>
                <w:kern w:val="0"/>
                <w:lang w:val="en-US" w:eastAsia="zh-CN" w:bidi="ar"/>
              </w:rPr>
            </w:pPr>
            <w:r>
              <w:rPr>
                <w:rFonts w:ascii="仿宋" w:hAnsi="仿宋" w:eastAsia="仿宋" w:cs="仿宋"/>
                <w:color w:val="auto"/>
                <w:kern w:val="0"/>
                <w:lang w:val="en-US" w:eastAsia="zh-CN" w:bidi="ar"/>
              </w:rPr>
              <w:t>13</w:t>
            </w:r>
          </w:p>
        </w:tc>
        <w:tc>
          <w:tcPr>
            <w:tcW w:w="2551" w:type="dxa"/>
            <w:noWrap/>
            <w:vAlign w:val="center"/>
          </w:tcPr>
          <w:p w14:paraId="542AA840">
            <w:pPr>
              <w:jc w:val="center"/>
              <w:textAlignment w:val="center"/>
              <w:rPr>
                <w:rFonts w:ascii="仿宋" w:hAnsi="仿宋" w:eastAsia="仿宋" w:cs="仿宋"/>
                <w:kern w:val="0"/>
                <w:sz w:val="24"/>
                <w:lang w:bidi="ar"/>
              </w:rPr>
            </w:pPr>
            <w:r>
              <w:rPr>
                <w:rFonts w:ascii="仿宋" w:hAnsi="仿宋" w:eastAsia="仿宋" w:cs="仿宋"/>
                <w:kern w:val="0"/>
                <w:sz w:val="22"/>
                <w:szCs w:val="22"/>
                <w:lang w:val="en-US" w:eastAsia="zh-CN" w:bidi="ar"/>
              </w:rPr>
              <w:t>驻场服务</w:t>
            </w:r>
          </w:p>
        </w:tc>
        <w:tc>
          <w:tcPr>
            <w:tcW w:w="1020" w:type="dxa"/>
            <w:vAlign w:val="center"/>
          </w:tcPr>
          <w:p w14:paraId="32B5A6B5">
            <w:pPr>
              <w:pStyle w:val="50"/>
              <w:adjustRightInd w:val="0"/>
              <w:snapToGrid w:val="0"/>
              <w:spacing w:after="0" w:line="360" w:lineRule="auto"/>
              <w:ind w:left="0" w:leftChars="0" w:firstLine="0" w:firstLineChars="0"/>
              <w:jc w:val="center"/>
              <w:rPr>
                <w:rFonts w:hint="eastAsia" w:ascii="仿宋" w:hAnsi="仿宋" w:eastAsia="仿宋" w:cs="仿宋"/>
                <w:color w:val="000000"/>
                <w:kern w:val="0"/>
                <w:sz w:val="24"/>
                <w:lang w:val="en-US" w:eastAsia="zh-CN" w:bidi="ar"/>
              </w:rPr>
            </w:pPr>
            <w:r>
              <w:rPr>
                <w:rFonts w:hint="eastAsia" w:ascii="仿宋" w:hAnsi="仿宋" w:eastAsia="仿宋" w:cs="仿宋"/>
                <w:color w:val="000000"/>
                <w:kern w:val="0"/>
                <w:sz w:val="24"/>
                <w:lang w:val="en-US" w:eastAsia="zh-CN" w:bidi="ar"/>
              </w:rPr>
              <w:t>人</w:t>
            </w:r>
          </w:p>
        </w:tc>
        <w:tc>
          <w:tcPr>
            <w:tcW w:w="964" w:type="dxa"/>
            <w:vAlign w:val="center"/>
          </w:tcPr>
          <w:p w14:paraId="703FAABD">
            <w:pPr>
              <w:pStyle w:val="50"/>
              <w:adjustRightInd w:val="0"/>
              <w:snapToGrid w:val="0"/>
              <w:spacing w:after="0" w:line="360" w:lineRule="auto"/>
              <w:ind w:left="0" w:leftChars="0" w:firstLine="0" w:firstLineChars="0"/>
              <w:jc w:val="center"/>
              <w:rPr>
                <w:rFonts w:hint="eastAsia" w:ascii="仿宋" w:hAnsi="仿宋" w:eastAsia="仿宋" w:cs="仿宋"/>
                <w:color w:val="000000"/>
                <w:kern w:val="0"/>
                <w:sz w:val="24"/>
                <w:lang w:val="en-US" w:eastAsia="zh-CN" w:bidi="ar"/>
              </w:rPr>
            </w:pPr>
            <w:r>
              <w:rPr>
                <w:rFonts w:hint="eastAsia" w:ascii="仿宋" w:hAnsi="仿宋" w:eastAsia="仿宋" w:cs="仿宋"/>
                <w:color w:val="000000"/>
                <w:kern w:val="0"/>
                <w:sz w:val="24"/>
                <w:lang w:val="en-US" w:eastAsia="zh-CN" w:bidi="ar"/>
              </w:rPr>
              <w:t>1</w:t>
            </w:r>
          </w:p>
        </w:tc>
        <w:tc>
          <w:tcPr>
            <w:tcW w:w="1633" w:type="dxa"/>
            <w:vAlign w:val="center"/>
          </w:tcPr>
          <w:p w14:paraId="2E4B9B73">
            <w:pPr>
              <w:pStyle w:val="50"/>
              <w:adjustRightInd w:val="0"/>
              <w:snapToGrid w:val="0"/>
              <w:spacing w:after="0" w:line="360" w:lineRule="auto"/>
              <w:ind w:left="0" w:leftChars="0" w:firstLine="0" w:firstLineChars="0"/>
              <w:jc w:val="center"/>
              <w:rPr>
                <w:rFonts w:hint="eastAsia" w:ascii="仿宋" w:hAnsi="仿宋" w:eastAsia="仿宋" w:cs="仿宋"/>
                <w:color w:val="000000"/>
                <w:kern w:val="0"/>
                <w:sz w:val="24"/>
                <w:lang w:eastAsia="zh-CN" w:bidi="ar"/>
              </w:rPr>
            </w:pPr>
            <w:r>
              <w:rPr>
                <w:rFonts w:eastAsia="宋体"/>
                <w:lang w:val="en-US" w:eastAsia="zh-CN"/>
              </w:rPr>
              <w:t>/</w:t>
            </w:r>
          </w:p>
        </w:tc>
        <w:tc>
          <w:tcPr>
            <w:tcW w:w="1633" w:type="dxa"/>
            <w:vAlign w:val="center"/>
          </w:tcPr>
          <w:p w14:paraId="73801417">
            <w:pPr>
              <w:spacing w:after="0" w:line="340" w:lineRule="exact"/>
              <w:jc w:val="center"/>
              <w:rPr>
                <w:rFonts w:eastAsia="宋体"/>
                <w:lang w:val="en-US" w:eastAsia="zh-CN"/>
              </w:rPr>
            </w:pPr>
            <w:r>
              <w:rPr>
                <w:rFonts w:eastAsia="宋体"/>
                <w:lang w:val="en-US" w:eastAsia="zh-CN"/>
              </w:rPr>
              <w:t>/</w:t>
            </w:r>
          </w:p>
        </w:tc>
        <w:tc>
          <w:tcPr>
            <w:tcW w:w="1903" w:type="dxa"/>
            <w:vAlign w:val="center"/>
          </w:tcPr>
          <w:p w14:paraId="68AA8C96">
            <w:pPr>
              <w:spacing w:after="0" w:line="340" w:lineRule="exact"/>
              <w:jc w:val="center"/>
              <w:rPr>
                <w:rFonts w:eastAsia="宋体"/>
                <w:lang w:val="en-US" w:eastAsia="zh-CN"/>
              </w:rPr>
            </w:pPr>
            <w:r>
              <w:rPr>
                <w:rFonts w:eastAsia="宋体"/>
                <w:lang w:val="en-US" w:eastAsia="zh-CN"/>
              </w:rPr>
              <w:t>/</w:t>
            </w:r>
          </w:p>
        </w:tc>
      </w:tr>
    </w:tbl>
    <w:p w14:paraId="718E49B6">
      <w:pPr>
        <w:rPr>
          <w:lang w:val="en-US" w:eastAsia="zh-CN"/>
        </w:rPr>
      </w:pPr>
    </w:p>
    <w:p w14:paraId="715AEC87">
      <w:pPr>
        <w:spacing w:after="0" w:line="360" w:lineRule="auto"/>
        <w:ind w:firstLine="560" w:firstLineChars="200"/>
        <w:jc w:val="left"/>
        <w:rPr>
          <w:rFonts w:ascii="仿宋" w:hAnsi="仿宋" w:eastAsia="仿宋" w:cs="仿宋"/>
          <w:caps/>
          <w:kern w:val="0"/>
          <w:sz w:val="28"/>
          <w:szCs w:val="28"/>
          <w:lang w:val="en-US" w:eastAsia="zh-CN"/>
        </w:rPr>
      </w:pPr>
      <w:r>
        <w:rPr>
          <w:rFonts w:ascii="仿宋" w:hAnsi="仿宋" w:eastAsia="仿宋" w:cs="仿宋"/>
          <w:caps/>
          <w:kern w:val="0"/>
          <w:sz w:val="28"/>
          <w:szCs w:val="28"/>
          <w:lang w:val="en-US" w:eastAsia="zh-CN"/>
        </w:rPr>
        <w:t>投标人（供应商）选用节能、环保产品进行投标（响应）的，应提供国家确定的认证机构出具的处于有效期之内的节能产品、环境标志产品认证证书。</w:t>
      </w:r>
    </w:p>
    <w:p w14:paraId="168DD4B6">
      <w:pPr>
        <w:rPr>
          <w:lang w:val="en-US" w:eastAsia="zh-CN"/>
        </w:rPr>
      </w:pPr>
    </w:p>
    <w:p w14:paraId="63099BC2">
      <w:pPr>
        <w:spacing w:line="440" w:lineRule="exact"/>
        <w:ind w:firstLine="562" w:firstLineChars="200"/>
        <w:jc w:val="center"/>
        <w:outlineLvl w:val="1"/>
        <w:rPr>
          <w:rFonts w:hint="default" w:ascii="仿宋_GB2312" w:hAnsi="Times New Roman" w:eastAsia="仿宋_GB2312" w:cs="Times New Roman"/>
          <w:b/>
          <w:bCs/>
          <w:color w:val="auto"/>
          <w:sz w:val="28"/>
          <w:szCs w:val="28"/>
          <w:lang w:val="en-US" w:eastAsia="zh-CN"/>
        </w:rPr>
      </w:pPr>
      <w:r>
        <w:rPr>
          <w:rFonts w:ascii="仿宋_GB2312" w:hAnsi="Times New Roman" w:eastAsia="仿宋_GB2312" w:cs="Times New Roman"/>
          <w:b/>
          <w:bCs/>
          <w:color w:val="auto"/>
          <w:sz w:val="28"/>
          <w:szCs w:val="28"/>
          <w:lang w:val="en-US" w:eastAsia="zh-CN"/>
        </w:rPr>
        <w:t>表2 技术要求，货物的参数及要求</w:t>
      </w:r>
    </w:p>
    <w:tbl>
      <w:tblPr>
        <w:tblStyle w:val="51"/>
        <w:tblW w:w="10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87"/>
        <w:gridCol w:w="1227"/>
        <w:gridCol w:w="8424"/>
      </w:tblGrid>
      <w:tr w14:paraId="00DF2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7" w:type="dxa"/>
            <w:vAlign w:val="center"/>
          </w:tcPr>
          <w:p w14:paraId="2F5685AA">
            <w:pPr>
              <w:adjustRightInd w:val="0"/>
              <w:snapToGrid w:val="0"/>
              <w:spacing w:after="0" w:line="240" w:lineRule="auto"/>
              <w:jc w:val="center"/>
              <w:rPr>
                <w:rFonts w:ascii="仿宋" w:hAnsi="仿宋" w:eastAsia="仿宋" w:cs="仿宋"/>
                <w:sz w:val="24"/>
              </w:rPr>
            </w:pPr>
            <w:r>
              <w:rPr>
                <w:rFonts w:ascii="仿宋" w:hAnsi="仿宋" w:eastAsia="仿宋" w:cs="仿宋"/>
                <w:sz w:val="24"/>
              </w:rPr>
              <w:t>序号</w:t>
            </w:r>
          </w:p>
        </w:tc>
        <w:tc>
          <w:tcPr>
            <w:tcW w:w="1227" w:type="dxa"/>
            <w:vAlign w:val="center"/>
          </w:tcPr>
          <w:p w14:paraId="2E451E1B">
            <w:pPr>
              <w:adjustRightInd w:val="0"/>
              <w:snapToGrid w:val="0"/>
              <w:spacing w:after="0" w:line="240" w:lineRule="auto"/>
              <w:jc w:val="center"/>
              <w:rPr>
                <w:rFonts w:ascii="仿宋" w:hAnsi="仿宋" w:eastAsia="仿宋" w:cs="仿宋"/>
                <w:sz w:val="24"/>
              </w:rPr>
            </w:pPr>
            <w:r>
              <w:rPr>
                <w:rFonts w:ascii="仿宋" w:hAnsi="仿宋" w:eastAsia="仿宋" w:cs="仿宋"/>
                <w:sz w:val="24"/>
              </w:rPr>
              <w:t>名称</w:t>
            </w:r>
          </w:p>
        </w:tc>
        <w:tc>
          <w:tcPr>
            <w:tcW w:w="8424" w:type="dxa"/>
            <w:vAlign w:val="center"/>
          </w:tcPr>
          <w:p w14:paraId="6B17F0E1">
            <w:pPr>
              <w:adjustRightInd w:val="0"/>
              <w:snapToGrid w:val="0"/>
              <w:spacing w:after="0" w:line="240" w:lineRule="auto"/>
              <w:jc w:val="center"/>
              <w:rPr>
                <w:rFonts w:ascii="仿宋" w:hAnsi="仿宋" w:eastAsia="仿宋" w:cs="仿宋"/>
                <w:b/>
                <w:sz w:val="24"/>
              </w:rPr>
            </w:pPr>
            <w:r>
              <w:rPr>
                <w:rFonts w:ascii="仿宋" w:hAnsi="仿宋" w:eastAsia="仿宋" w:cs="仿宋"/>
                <w:b/>
                <w:sz w:val="24"/>
              </w:rPr>
              <w:t>参数</w:t>
            </w:r>
          </w:p>
        </w:tc>
      </w:tr>
      <w:tr w14:paraId="3A485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7" w:type="dxa"/>
            <w:vAlign w:val="center"/>
          </w:tcPr>
          <w:p w14:paraId="74807512">
            <w:pPr>
              <w:adjustRightInd w:val="0"/>
              <w:snapToGrid w:val="0"/>
              <w:spacing w:after="0" w:line="240" w:lineRule="auto"/>
              <w:jc w:val="center"/>
              <w:rPr>
                <w:rFonts w:ascii="仿宋" w:hAnsi="仿宋" w:eastAsia="仿宋" w:cs="仿宋"/>
                <w:sz w:val="24"/>
              </w:rPr>
            </w:pPr>
            <w:r>
              <w:rPr>
                <w:rFonts w:ascii="仿宋" w:hAnsi="仿宋" w:eastAsia="仿宋" w:cs="仿宋"/>
                <w:sz w:val="24"/>
              </w:rPr>
              <w:t>1</w:t>
            </w:r>
          </w:p>
        </w:tc>
        <w:tc>
          <w:tcPr>
            <w:tcW w:w="1227" w:type="dxa"/>
            <w:vAlign w:val="center"/>
          </w:tcPr>
          <w:p w14:paraId="5CD38598">
            <w:pPr>
              <w:jc w:val="center"/>
              <w:textAlignment w:val="center"/>
              <w:rPr>
                <w:rFonts w:ascii="仿宋" w:hAnsi="仿宋" w:eastAsia="仿宋" w:cs="仿宋"/>
                <w:color w:val="auto"/>
                <w:kern w:val="0"/>
                <w:sz w:val="24"/>
                <w:szCs w:val="24"/>
                <w:lang w:val="en-US" w:eastAsia="zh-CN" w:bidi="ar"/>
              </w:rPr>
            </w:pPr>
            <w:r>
              <w:rPr>
                <w:rFonts w:ascii="仿宋" w:hAnsi="仿宋" w:eastAsia="仿宋" w:cs="仿宋"/>
                <w:color w:val="auto"/>
                <w:kern w:val="0"/>
                <w:sz w:val="24"/>
                <w:szCs w:val="24"/>
                <w:lang w:val="en-US" w:eastAsia="zh-CN" w:bidi="ar"/>
              </w:rPr>
              <w:t>虚拟化服务器</w:t>
            </w:r>
          </w:p>
        </w:tc>
        <w:tc>
          <w:tcPr>
            <w:tcW w:w="8424" w:type="dxa"/>
            <w:vAlign w:val="center"/>
          </w:tcPr>
          <w:p w14:paraId="3B42ADA7">
            <w:pPr>
              <w:jc w:val="left"/>
              <w:textAlignment w:val="center"/>
              <w:rPr>
                <w:rFonts w:ascii="仿宋" w:hAnsi="仿宋" w:eastAsia="仿宋" w:cs="仿宋"/>
                <w:kern w:val="0"/>
                <w:sz w:val="22"/>
                <w:szCs w:val="22"/>
                <w:lang w:val="en-US" w:eastAsia="zh-CN" w:bidi="ar"/>
              </w:rPr>
            </w:pPr>
            <w:r>
              <w:rPr>
                <w:rFonts w:hint="eastAsia" w:ascii="仿宋" w:hAnsi="仿宋" w:eastAsia="仿宋" w:cs="仿宋"/>
                <w:kern w:val="0"/>
                <w:sz w:val="22"/>
                <w:szCs w:val="22"/>
                <w:lang w:val="en-US" w:eastAsia="zh-CN" w:bidi="ar"/>
              </w:rPr>
              <w:t>技术参数详见表3 虚拟化服务器技术参数。</w:t>
            </w:r>
          </w:p>
        </w:tc>
      </w:tr>
      <w:tr w14:paraId="32C40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7" w:type="dxa"/>
            <w:vAlign w:val="center"/>
          </w:tcPr>
          <w:p w14:paraId="5449DD74">
            <w:pPr>
              <w:pStyle w:val="50"/>
              <w:adjustRightInd w:val="0"/>
              <w:snapToGrid w:val="0"/>
              <w:spacing w:after="0"/>
              <w:ind w:left="0" w:leftChars="0" w:firstLine="0" w:firstLineChars="0"/>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2</w:t>
            </w:r>
          </w:p>
        </w:tc>
        <w:tc>
          <w:tcPr>
            <w:tcW w:w="1227" w:type="dxa"/>
            <w:vAlign w:val="center"/>
          </w:tcPr>
          <w:p w14:paraId="7D996CC4">
            <w:pPr>
              <w:jc w:val="center"/>
              <w:textAlignment w:val="center"/>
              <w:rPr>
                <w:rFonts w:ascii="仿宋" w:hAnsi="仿宋" w:eastAsia="仿宋" w:cs="仿宋"/>
                <w:color w:val="auto"/>
                <w:kern w:val="0"/>
                <w:sz w:val="24"/>
                <w:szCs w:val="24"/>
                <w:lang w:val="en-US" w:eastAsia="zh-CN" w:bidi="ar"/>
              </w:rPr>
            </w:pPr>
            <w:r>
              <w:rPr>
                <w:rFonts w:ascii="仿宋" w:hAnsi="仿宋" w:eastAsia="仿宋" w:cs="仿宋"/>
                <w:color w:val="auto"/>
                <w:kern w:val="0"/>
                <w:sz w:val="24"/>
                <w:szCs w:val="24"/>
                <w:lang w:val="en-US" w:eastAsia="zh-CN" w:bidi="ar"/>
              </w:rPr>
              <w:t>PACS服务器</w:t>
            </w:r>
          </w:p>
        </w:tc>
        <w:tc>
          <w:tcPr>
            <w:tcW w:w="8424" w:type="dxa"/>
            <w:vAlign w:val="center"/>
          </w:tcPr>
          <w:p w14:paraId="54BD2E1B">
            <w:pPr>
              <w:jc w:val="left"/>
              <w:textAlignment w:val="center"/>
              <w:rPr>
                <w:rFonts w:ascii="仿宋" w:hAnsi="仿宋" w:eastAsia="仿宋" w:cs="仿宋"/>
                <w:kern w:val="0"/>
                <w:sz w:val="22"/>
                <w:szCs w:val="22"/>
                <w:lang w:val="en-US" w:eastAsia="zh-CN" w:bidi="ar"/>
              </w:rPr>
            </w:pPr>
            <w:r>
              <w:rPr>
                <w:rFonts w:hint="eastAsia" w:ascii="仿宋" w:hAnsi="仿宋" w:eastAsia="仿宋" w:cs="仿宋"/>
                <w:kern w:val="0"/>
                <w:sz w:val="22"/>
                <w:szCs w:val="22"/>
                <w:lang w:val="en-US" w:eastAsia="zh-CN" w:bidi="ar"/>
              </w:rPr>
              <w:t>技术参数详见表4 PACS服务器技术参数。</w:t>
            </w:r>
          </w:p>
        </w:tc>
      </w:tr>
      <w:tr w14:paraId="52A3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18" w:hRule="atLeast"/>
          <w:jc w:val="center"/>
        </w:trPr>
        <w:tc>
          <w:tcPr>
            <w:tcW w:w="587" w:type="dxa"/>
            <w:vAlign w:val="center"/>
          </w:tcPr>
          <w:p w14:paraId="5C928C6B">
            <w:pPr>
              <w:pStyle w:val="50"/>
              <w:adjustRightInd w:val="0"/>
              <w:snapToGrid w:val="0"/>
              <w:spacing w:after="0"/>
              <w:ind w:left="0" w:leftChars="0" w:firstLine="0" w:firstLineChars="0"/>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w:t>
            </w:r>
          </w:p>
        </w:tc>
        <w:tc>
          <w:tcPr>
            <w:tcW w:w="1227" w:type="dxa"/>
            <w:vAlign w:val="center"/>
          </w:tcPr>
          <w:p w14:paraId="2CB5D5A5">
            <w:pPr>
              <w:jc w:val="center"/>
              <w:textAlignment w:val="center"/>
              <w:rPr>
                <w:rFonts w:ascii="仿宋" w:hAnsi="仿宋" w:eastAsia="仿宋" w:cs="仿宋"/>
                <w:color w:val="auto"/>
                <w:kern w:val="0"/>
                <w:sz w:val="24"/>
                <w:szCs w:val="24"/>
                <w:lang w:val="en-US" w:eastAsia="zh-CN" w:bidi="ar"/>
              </w:rPr>
            </w:pPr>
            <w:r>
              <w:rPr>
                <w:rFonts w:ascii="仿宋" w:hAnsi="仿宋" w:eastAsia="仿宋" w:cs="仿宋"/>
                <w:color w:val="auto"/>
                <w:kern w:val="0"/>
                <w:sz w:val="24"/>
                <w:szCs w:val="24"/>
                <w:lang w:val="en-US" w:eastAsia="zh-CN" w:bidi="ar"/>
              </w:rPr>
              <w:t>虚拟化软件及授权</w:t>
            </w:r>
          </w:p>
        </w:tc>
        <w:tc>
          <w:tcPr>
            <w:tcW w:w="8424" w:type="dxa"/>
            <w:vAlign w:val="center"/>
          </w:tcPr>
          <w:p w14:paraId="3ED10F7E">
            <w:pPr>
              <w:numPr>
                <w:ilvl w:val="0"/>
                <w:numId w:val="5"/>
              </w:numPr>
              <w:jc w:val="left"/>
              <w:textAlignment w:val="center"/>
              <w:rPr>
                <w:rFonts w:ascii="仿宋" w:hAnsi="仿宋" w:eastAsia="仿宋" w:cs="仿宋"/>
                <w:kern w:val="0"/>
                <w:sz w:val="22"/>
                <w:szCs w:val="22"/>
                <w:lang w:val="en-US" w:eastAsia="zh-CN" w:bidi="ar"/>
              </w:rPr>
            </w:pPr>
            <w:r>
              <w:rPr>
                <w:rFonts w:ascii="仿宋" w:hAnsi="仿宋" w:eastAsia="仿宋" w:cs="仿宋"/>
                <w:kern w:val="0"/>
                <w:sz w:val="22"/>
                <w:szCs w:val="22"/>
                <w:lang w:val="en-US" w:eastAsia="zh-CN" w:bidi="ar"/>
              </w:rPr>
              <w:t>★提供≥16个CPU授权；</w:t>
            </w:r>
          </w:p>
          <w:p w14:paraId="47D9E390">
            <w:pPr>
              <w:numPr>
                <w:ilvl w:val="0"/>
                <w:numId w:val="5"/>
              </w:numPr>
              <w:jc w:val="left"/>
              <w:textAlignment w:val="center"/>
              <w:rPr>
                <w:rFonts w:ascii="仿宋" w:hAnsi="仿宋" w:eastAsia="仿宋" w:cs="仿宋"/>
                <w:kern w:val="0"/>
                <w:sz w:val="22"/>
                <w:szCs w:val="22"/>
                <w:lang w:val="en-US" w:eastAsia="zh-CN" w:bidi="ar"/>
              </w:rPr>
            </w:pPr>
            <w:r>
              <w:rPr>
                <w:rFonts w:ascii="仿宋" w:hAnsi="仿宋" w:eastAsia="仿宋" w:cs="仿宋"/>
                <w:kern w:val="0"/>
                <w:sz w:val="22"/>
                <w:szCs w:val="22"/>
                <w:lang w:val="en-US" w:eastAsia="zh-CN" w:bidi="ar"/>
              </w:rPr>
              <w:t>虚拟化支持双架构部署，可通过一套平台对x86和ARM架构服务器进行统一管理；</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3、支持虚拟机规格的在线调整，包括CPU、内存等资源，不用重启即可生效；</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4、支持ARM场景下将主机的GPU设备、SSD设备直通给虚拟机，提升虚拟机的整体性能；</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5、x86和ARM场景均支持NUMA技术，优化CPU和内存资源分配，提升性能；</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6、ARM场景支持USB3.0/2.0协议的直通功能，将物理服务器上的USB设备与虚拟机关联，以满足客户在虚拟化场景下使用U盘、USB加密卡等设备的需求；</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7、支持动态电源管理，系统可根据集群的负载情况，自动上下电主机，优化数据中心能耗，达到节能减排目的。</w:t>
            </w:r>
          </w:p>
        </w:tc>
      </w:tr>
      <w:tr w14:paraId="41F4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7" w:type="dxa"/>
            <w:vAlign w:val="center"/>
          </w:tcPr>
          <w:p w14:paraId="7158E6F3">
            <w:pPr>
              <w:pStyle w:val="50"/>
              <w:adjustRightInd w:val="0"/>
              <w:snapToGrid w:val="0"/>
              <w:spacing w:after="0"/>
              <w:ind w:left="0" w:leftChars="0" w:firstLine="0" w:firstLineChars="0"/>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4</w:t>
            </w:r>
          </w:p>
        </w:tc>
        <w:tc>
          <w:tcPr>
            <w:tcW w:w="1227" w:type="dxa"/>
            <w:vAlign w:val="center"/>
          </w:tcPr>
          <w:p w14:paraId="0BBE5A29">
            <w:pPr>
              <w:jc w:val="center"/>
              <w:textAlignment w:val="center"/>
              <w:rPr>
                <w:rFonts w:ascii="仿宋" w:hAnsi="仿宋" w:eastAsia="仿宋" w:cs="仿宋"/>
                <w:color w:val="auto"/>
                <w:kern w:val="0"/>
                <w:sz w:val="24"/>
                <w:szCs w:val="24"/>
                <w:lang w:val="en-US" w:eastAsia="zh-CN" w:bidi="ar"/>
              </w:rPr>
            </w:pPr>
            <w:r>
              <w:rPr>
                <w:rFonts w:ascii="仿宋" w:hAnsi="仿宋" w:eastAsia="仿宋" w:cs="仿宋"/>
                <w:color w:val="auto"/>
                <w:kern w:val="0"/>
                <w:sz w:val="24"/>
                <w:szCs w:val="24"/>
                <w:lang w:val="en-US" w:eastAsia="zh-CN" w:bidi="ar"/>
              </w:rPr>
              <w:t>PACS存储</w:t>
            </w:r>
          </w:p>
        </w:tc>
        <w:tc>
          <w:tcPr>
            <w:tcW w:w="8424" w:type="dxa"/>
            <w:vAlign w:val="center"/>
          </w:tcPr>
          <w:p w14:paraId="726477BA">
            <w:pPr>
              <w:jc w:val="left"/>
              <w:textAlignment w:val="center"/>
              <w:rPr>
                <w:rFonts w:ascii="仿宋" w:hAnsi="仿宋" w:eastAsia="仿宋" w:cs="仿宋"/>
                <w:kern w:val="0"/>
                <w:sz w:val="22"/>
                <w:szCs w:val="22"/>
                <w:lang w:val="en-US" w:eastAsia="zh-CN" w:bidi="ar"/>
              </w:rPr>
            </w:pPr>
            <w:r>
              <w:rPr>
                <w:rFonts w:ascii="仿宋" w:hAnsi="仿宋" w:eastAsia="仿宋" w:cs="仿宋"/>
                <w:kern w:val="0"/>
                <w:sz w:val="22"/>
                <w:szCs w:val="22"/>
                <w:lang w:val="en-US" w:eastAsia="zh-CN" w:bidi="ar"/>
              </w:rPr>
              <w:t>1、配置SAN和NAS功能，支持SAN和NAS共资源池，无需独立分配；</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2、盘控一体架构，配置≥2个控制器，控制器采用的处理器总核心数≥90核；</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3、缓存容量配置≥512GB；</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4、配置≥</w:t>
            </w:r>
            <w:r>
              <w:rPr>
                <w:rFonts w:hint="eastAsia" w:ascii="仿宋" w:hAnsi="仿宋" w:eastAsia="仿宋" w:cs="仿宋"/>
                <w:kern w:val="0"/>
                <w:sz w:val="22"/>
                <w:szCs w:val="22"/>
                <w:lang w:val="en-US" w:eastAsia="zh-CN" w:bidi="ar"/>
              </w:rPr>
              <w:t>8</w:t>
            </w:r>
            <w:r>
              <w:rPr>
                <w:rFonts w:ascii="仿宋" w:hAnsi="仿宋" w:eastAsia="仿宋" w:cs="仿宋"/>
                <w:kern w:val="0"/>
                <w:sz w:val="22"/>
                <w:szCs w:val="22"/>
                <w:lang w:val="en-US" w:eastAsia="zh-CN" w:bidi="ar"/>
              </w:rPr>
              <w:t>个可热插拔的IO插槽, ≥8个32GB FC口（含光模块），≥8个千兆电口，≥4个100G接口；</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5、★为保障后续使用的性能，配置≥700TB 7.2K RPM NL SAS硬盘，配置≥15块3.84TB SSD NVME硬盘；</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6、配置防勒索功能：支持对快照设置保护周期，在保护周期内快照无法删除，无法篡改快照中的数据；</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7、★配置快照、复制、克隆、</w:t>
            </w:r>
            <w:bookmarkStart w:id="527" w:name="_GoBack"/>
            <w:bookmarkEnd w:id="527"/>
            <w:r>
              <w:rPr>
                <w:rFonts w:ascii="仿宋" w:hAnsi="仿宋" w:eastAsia="仿宋" w:cs="仿宋"/>
                <w:kern w:val="0"/>
                <w:sz w:val="22"/>
                <w:szCs w:val="22"/>
                <w:lang w:val="en-US" w:eastAsia="zh-CN" w:bidi="ar"/>
              </w:rPr>
              <w:t>数据保护、多租户等软件功能；</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8、支持平均提前14天预测风险硬盘，提前备货，在业务空闲期进行更换，把对业务影响降低到最小；</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9、提供SSD寿命监控技术，并在系统中显示每一块SSD硬盘的磨损度以及预估剩余寿命</w:t>
            </w:r>
            <w:r>
              <w:rPr>
                <w:rFonts w:hint="eastAsia" w:ascii="仿宋" w:hAnsi="仿宋" w:eastAsia="仿宋" w:cs="仿宋"/>
                <w:kern w:val="0"/>
                <w:sz w:val="22"/>
                <w:szCs w:val="22"/>
                <w:lang w:val="en-US" w:eastAsia="zh-CN" w:bidi="ar"/>
              </w:rPr>
              <w:t>。</w:t>
            </w:r>
          </w:p>
        </w:tc>
      </w:tr>
      <w:tr w14:paraId="7864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87" w:type="dxa"/>
            <w:tcBorders>
              <w:top w:val="single" w:color="auto" w:sz="4" w:space="0"/>
              <w:left w:val="single" w:color="auto" w:sz="4" w:space="0"/>
              <w:bottom w:val="single" w:color="auto" w:sz="4" w:space="0"/>
              <w:right w:val="single" w:color="auto" w:sz="4" w:space="0"/>
            </w:tcBorders>
            <w:vAlign w:val="center"/>
          </w:tcPr>
          <w:p w14:paraId="201AE362">
            <w:pPr>
              <w:pStyle w:val="50"/>
              <w:adjustRightInd w:val="0"/>
              <w:snapToGrid w:val="0"/>
              <w:spacing w:after="0"/>
              <w:ind w:left="0" w:leftChars="0" w:firstLine="0" w:firstLineChars="0"/>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5</w:t>
            </w:r>
          </w:p>
        </w:tc>
        <w:tc>
          <w:tcPr>
            <w:tcW w:w="1227" w:type="dxa"/>
            <w:tcBorders>
              <w:top w:val="single" w:color="auto" w:sz="4" w:space="0"/>
              <w:left w:val="single" w:color="auto" w:sz="4" w:space="0"/>
              <w:bottom w:val="single" w:color="auto" w:sz="4" w:space="0"/>
              <w:right w:val="single" w:color="auto" w:sz="4" w:space="0"/>
            </w:tcBorders>
            <w:vAlign w:val="center"/>
          </w:tcPr>
          <w:p w14:paraId="79E8F30B">
            <w:pPr>
              <w:jc w:val="center"/>
              <w:textAlignment w:val="center"/>
              <w:rPr>
                <w:rFonts w:ascii="仿宋" w:hAnsi="仿宋" w:eastAsia="仿宋" w:cs="仿宋"/>
                <w:color w:val="auto"/>
                <w:kern w:val="0"/>
                <w:sz w:val="24"/>
                <w:szCs w:val="24"/>
                <w:lang w:val="en-US" w:eastAsia="zh-CN" w:bidi="ar"/>
              </w:rPr>
            </w:pPr>
            <w:r>
              <w:rPr>
                <w:rFonts w:ascii="仿宋" w:hAnsi="仿宋" w:eastAsia="仿宋" w:cs="仿宋"/>
                <w:color w:val="auto"/>
                <w:kern w:val="0"/>
                <w:sz w:val="24"/>
                <w:szCs w:val="24"/>
                <w:lang w:val="en-US" w:eastAsia="zh-CN" w:bidi="ar"/>
              </w:rPr>
              <w:t>业务存储</w:t>
            </w:r>
          </w:p>
        </w:tc>
        <w:tc>
          <w:tcPr>
            <w:tcW w:w="8424" w:type="dxa"/>
            <w:tcBorders>
              <w:top w:val="single" w:color="auto" w:sz="4" w:space="0"/>
              <w:left w:val="single" w:color="auto" w:sz="4" w:space="0"/>
              <w:bottom w:val="single" w:color="auto" w:sz="4" w:space="0"/>
              <w:right w:val="single" w:color="auto" w:sz="4" w:space="0"/>
            </w:tcBorders>
            <w:vAlign w:val="center"/>
          </w:tcPr>
          <w:p w14:paraId="503E431A">
            <w:pPr>
              <w:pStyle w:val="14"/>
              <w:rPr>
                <w:rFonts w:ascii="仿宋" w:hAnsi="仿宋" w:eastAsia="仿宋" w:cs="仿宋"/>
                <w:kern w:val="0"/>
                <w:sz w:val="22"/>
                <w:szCs w:val="22"/>
                <w:lang w:val="en-US" w:eastAsia="zh-CN" w:bidi="ar"/>
              </w:rPr>
            </w:pPr>
            <w:r>
              <w:rPr>
                <w:rFonts w:ascii="仿宋" w:hAnsi="仿宋" w:eastAsia="仿宋" w:cs="仿宋"/>
                <w:kern w:val="0"/>
                <w:sz w:val="22"/>
                <w:szCs w:val="22"/>
                <w:lang w:val="en-US" w:eastAsia="zh-CN" w:bidi="ar"/>
              </w:rPr>
              <w:t>1、支持配置IPSAN和FC SAN协议；</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2、支持盘控一体架构；</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3、缓存容量配置≥512GB；</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4、配置≥</w:t>
            </w:r>
            <w:r>
              <w:rPr>
                <w:rFonts w:hint="eastAsia" w:ascii="仿宋" w:hAnsi="仿宋" w:eastAsia="仿宋" w:cs="仿宋"/>
                <w:kern w:val="0"/>
                <w:sz w:val="22"/>
                <w:szCs w:val="22"/>
                <w:lang w:val="en-US" w:eastAsia="zh-CN" w:bidi="ar"/>
              </w:rPr>
              <w:t>8</w:t>
            </w:r>
            <w:r>
              <w:rPr>
                <w:rFonts w:ascii="仿宋" w:hAnsi="仿宋" w:eastAsia="仿宋" w:cs="仿宋"/>
                <w:kern w:val="0"/>
                <w:sz w:val="22"/>
                <w:szCs w:val="22"/>
                <w:lang w:val="en-US" w:eastAsia="zh-CN" w:bidi="ar"/>
              </w:rPr>
              <w:t>个可热插拔的IO插槽, 配置≥8个32GB FC口（含光模块），≥8个万兆光口（含光模块），≥4个100G接口；</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5、★配置≥27块3.84TB SSD NVME硬盘，配置≥35个NVME硬盘槽位；</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6、配置双活、快照、复制、克隆、异构虚拟化、数据保护等软件功能；</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7、支持对快照设置保护周期，在保护周期内快照无法删除，无法篡改快照中的数据；</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8、支持同一个RAID组内容忍任意≥</w:t>
            </w:r>
            <w:r>
              <w:rPr>
                <w:rFonts w:hint="eastAsia" w:ascii="仿宋" w:hAnsi="仿宋" w:eastAsia="仿宋" w:cs="仿宋"/>
                <w:kern w:val="0"/>
                <w:sz w:val="22"/>
                <w:szCs w:val="22"/>
                <w:lang w:val="en-US" w:eastAsia="zh-CN" w:bidi="ar"/>
              </w:rPr>
              <w:t>2</w:t>
            </w:r>
            <w:r>
              <w:rPr>
                <w:rFonts w:ascii="仿宋" w:hAnsi="仿宋" w:eastAsia="仿宋" w:cs="仿宋"/>
                <w:kern w:val="0"/>
                <w:sz w:val="22"/>
                <w:szCs w:val="22"/>
                <w:lang w:val="en-US" w:eastAsia="zh-CN" w:bidi="ar"/>
              </w:rPr>
              <w:t>盘同时失效，数据不丢且不中断业务；</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9、提供SSD寿命监控技术，并在系统中显示每一块SSD硬盘的磨损度以及预估剩余寿命；</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10、支持提前≥365天容量预测</w:t>
            </w:r>
            <w:r>
              <w:rPr>
                <w:rFonts w:hint="eastAsia" w:ascii="仿宋" w:hAnsi="仿宋" w:eastAsia="仿宋" w:cs="仿宋"/>
                <w:kern w:val="0"/>
                <w:sz w:val="22"/>
                <w:szCs w:val="22"/>
                <w:lang w:val="en-US" w:eastAsia="zh-CN" w:bidi="ar"/>
              </w:rPr>
              <w:t>。</w:t>
            </w:r>
          </w:p>
        </w:tc>
      </w:tr>
      <w:tr w14:paraId="2BB1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67" w:hRule="atLeast"/>
          <w:jc w:val="center"/>
        </w:trPr>
        <w:tc>
          <w:tcPr>
            <w:tcW w:w="587" w:type="dxa"/>
            <w:tcBorders>
              <w:top w:val="single" w:color="auto" w:sz="4" w:space="0"/>
              <w:left w:val="single" w:color="auto" w:sz="4" w:space="0"/>
              <w:bottom w:val="single" w:color="auto" w:sz="4" w:space="0"/>
              <w:right w:val="single" w:color="auto" w:sz="4" w:space="0"/>
            </w:tcBorders>
            <w:vAlign w:val="center"/>
          </w:tcPr>
          <w:p w14:paraId="3A69570C">
            <w:pPr>
              <w:pStyle w:val="50"/>
              <w:adjustRightInd w:val="0"/>
              <w:snapToGrid w:val="0"/>
              <w:spacing w:after="0"/>
              <w:ind w:left="0" w:leftChars="0" w:firstLine="0" w:firstLineChars="0"/>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6</w:t>
            </w:r>
          </w:p>
        </w:tc>
        <w:tc>
          <w:tcPr>
            <w:tcW w:w="1227" w:type="dxa"/>
            <w:tcBorders>
              <w:top w:val="single" w:color="auto" w:sz="4" w:space="0"/>
              <w:left w:val="single" w:color="auto" w:sz="4" w:space="0"/>
              <w:bottom w:val="single" w:color="auto" w:sz="4" w:space="0"/>
              <w:right w:val="single" w:color="auto" w:sz="4" w:space="0"/>
            </w:tcBorders>
            <w:vAlign w:val="center"/>
          </w:tcPr>
          <w:p w14:paraId="0FA6EBAB">
            <w:pPr>
              <w:jc w:val="center"/>
              <w:textAlignment w:val="center"/>
              <w:rPr>
                <w:rFonts w:ascii="仿宋" w:hAnsi="仿宋" w:eastAsia="仿宋" w:cs="仿宋"/>
                <w:color w:val="auto"/>
                <w:kern w:val="0"/>
                <w:sz w:val="24"/>
                <w:szCs w:val="24"/>
                <w:lang w:val="en-US" w:eastAsia="zh-CN" w:bidi="ar"/>
              </w:rPr>
            </w:pPr>
            <w:r>
              <w:rPr>
                <w:rFonts w:ascii="仿宋" w:hAnsi="仿宋" w:eastAsia="仿宋" w:cs="仿宋"/>
                <w:color w:val="auto"/>
                <w:kern w:val="0"/>
                <w:sz w:val="24"/>
                <w:szCs w:val="24"/>
                <w:lang w:val="en-US" w:eastAsia="zh-CN" w:bidi="ar"/>
              </w:rPr>
              <w:t>光纤交换机</w:t>
            </w:r>
          </w:p>
        </w:tc>
        <w:tc>
          <w:tcPr>
            <w:tcW w:w="8424" w:type="dxa"/>
            <w:tcBorders>
              <w:top w:val="single" w:color="auto" w:sz="4" w:space="0"/>
              <w:left w:val="single" w:color="auto" w:sz="4" w:space="0"/>
              <w:bottom w:val="single" w:color="auto" w:sz="4" w:space="0"/>
              <w:right w:val="single" w:color="auto" w:sz="4" w:space="0"/>
            </w:tcBorders>
            <w:vAlign w:val="center"/>
          </w:tcPr>
          <w:p w14:paraId="033C17D5">
            <w:pPr>
              <w:jc w:val="left"/>
              <w:textAlignment w:val="center"/>
              <w:rPr>
                <w:rFonts w:ascii="仿宋" w:hAnsi="仿宋" w:eastAsia="仿宋" w:cs="仿宋"/>
                <w:kern w:val="0"/>
                <w:sz w:val="22"/>
                <w:szCs w:val="22"/>
                <w:lang w:val="en-US" w:eastAsia="zh-CN" w:bidi="ar"/>
              </w:rPr>
            </w:pPr>
            <w:r>
              <w:rPr>
                <w:rFonts w:ascii="仿宋" w:hAnsi="仿宋" w:eastAsia="仿宋" w:cs="仿宋"/>
                <w:kern w:val="0"/>
                <w:sz w:val="22"/>
                <w:szCs w:val="22"/>
                <w:lang w:val="en-US" w:eastAsia="zh-CN" w:bidi="ar"/>
              </w:rPr>
              <w:t>1、★最大支持≥48个端口，本次激活24个端口,配置≥24个32Gb多模SFP；</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2、支持4、8、16和32 Gbps 端口速度自适应，可支持 128 Gbps的速度；</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3、支持数据帧级别的负载均衡；</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4、电源及配件：配置双电源（支持热插拔）</w:t>
            </w:r>
            <w:r>
              <w:rPr>
                <w:rFonts w:hint="eastAsia" w:ascii="仿宋" w:hAnsi="仿宋" w:eastAsia="仿宋" w:cs="仿宋"/>
                <w:kern w:val="0"/>
                <w:sz w:val="22"/>
                <w:szCs w:val="22"/>
                <w:lang w:val="en-US" w:eastAsia="zh-CN" w:bidi="ar"/>
              </w:rPr>
              <w:t>。</w:t>
            </w:r>
          </w:p>
        </w:tc>
      </w:tr>
      <w:tr w14:paraId="7EE7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9" w:hRule="atLeast"/>
          <w:jc w:val="center"/>
        </w:trPr>
        <w:tc>
          <w:tcPr>
            <w:tcW w:w="587" w:type="dxa"/>
            <w:tcBorders>
              <w:top w:val="single" w:color="auto" w:sz="4" w:space="0"/>
              <w:left w:val="single" w:color="auto" w:sz="4" w:space="0"/>
              <w:bottom w:val="single" w:color="auto" w:sz="4" w:space="0"/>
              <w:right w:val="single" w:color="auto" w:sz="4" w:space="0"/>
            </w:tcBorders>
            <w:vAlign w:val="center"/>
          </w:tcPr>
          <w:p w14:paraId="1B32082D">
            <w:pPr>
              <w:pStyle w:val="50"/>
              <w:adjustRightInd w:val="0"/>
              <w:snapToGrid w:val="0"/>
              <w:spacing w:after="0"/>
              <w:ind w:left="0" w:leftChars="0" w:firstLine="0" w:firstLineChars="0"/>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7</w:t>
            </w:r>
          </w:p>
        </w:tc>
        <w:tc>
          <w:tcPr>
            <w:tcW w:w="1227" w:type="dxa"/>
            <w:tcBorders>
              <w:top w:val="single" w:color="auto" w:sz="4" w:space="0"/>
              <w:left w:val="single" w:color="auto" w:sz="4" w:space="0"/>
              <w:bottom w:val="single" w:color="auto" w:sz="4" w:space="0"/>
              <w:right w:val="single" w:color="auto" w:sz="4" w:space="0"/>
            </w:tcBorders>
            <w:vAlign w:val="center"/>
          </w:tcPr>
          <w:p w14:paraId="07E57681">
            <w:pPr>
              <w:jc w:val="center"/>
              <w:textAlignment w:val="center"/>
              <w:rPr>
                <w:rFonts w:ascii="仿宋" w:hAnsi="仿宋" w:eastAsia="仿宋" w:cs="仿宋"/>
                <w:color w:val="auto"/>
                <w:kern w:val="0"/>
                <w:sz w:val="24"/>
                <w:szCs w:val="24"/>
                <w:lang w:val="en-US" w:eastAsia="zh-CN" w:bidi="ar"/>
              </w:rPr>
            </w:pPr>
            <w:r>
              <w:rPr>
                <w:rFonts w:ascii="仿宋" w:hAnsi="仿宋" w:eastAsia="仿宋" w:cs="仿宋"/>
                <w:color w:val="auto"/>
                <w:kern w:val="0"/>
                <w:sz w:val="24"/>
                <w:szCs w:val="24"/>
                <w:lang w:val="en-US" w:eastAsia="zh-CN" w:bidi="ar"/>
              </w:rPr>
              <w:t>备份一体机</w:t>
            </w:r>
          </w:p>
        </w:tc>
        <w:tc>
          <w:tcPr>
            <w:tcW w:w="8424" w:type="dxa"/>
            <w:tcBorders>
              <w:top w:val="single" w:color="auto" w:sz="4" w:space="0"/>
              <w:left w:val="single" w:color="auto" w:sz="4" w:space="0"/>
              <w:bottom w:val="single" w:color="auto" w:sz="4" w:space="0"/>
              <w:right w:val="single" w:color="auto" w:sz="4" w:space="0"/>
            </w:tcBorders>
            <w:vAlign w:val="center"/>
          </w:tcPr>
          <w:p w14:paraId="78B8B7FB">
            <w:pPr>
              <w:jc w:val="left"/>
              <w:textAlignment w:val="center"/>
              <w:rPr>
                <w:rFonts w:ascii="仿宋" w:hAnsi="仿宋" w:eastAsia="仿宋" w:cs="仿宋"/>
                <w:kern w:val="0"/>
                <w:sz w:val="22"/>
                <w:szCs w:val="22"/>
                <w:lang w:val="en-US" w:eastAsia="zh-CN" w:bidi="ar"/>
              </w:rPr>
            </w:pPr>
            <w:r>
              <w:rPr>
                <w:rFonts w:hint="eastAsia" w:ascii="仿宋" w:hAnsi="仿宋" w:eastAsia="仿宋" w:cs="仿宋"/>
                <w:kern w:val="0"/>
                <w:sz w:val="22"/>
                <w:szCs w:val="22"/>
                <w:lang w:val="en-US" w:eastAsia="zh-CN" w:bidi="ar"/>
              </w:rPr>
              <w:t>1、</w:t>
            </w:r>
            <w:r>
              <w:rPr>
                <w:rFonts w:ascii="仿宋" w:hAnsi="仿宋" w:eastAsia="仿宋" w:cs="仿宋"/>
                <w:kern w:val="0"/>
                <w:sz w:val="22"/>
                <w:szCs w:val="22"/>
                <w:lang w:val="en-US" w:eastAsia="zh-CN" w:bidi="ar"/>
              </w:rPr>
              <w:t>★硬件规格：4U机架式， CPU≥两颗64位八核十六线程，≥2*480G SSD系统硬盘, ≥16T*18数据硬盘，≥2个10G万兆以太网卡(SFP)，≥2个千兆以太网接口，冗余电源，备份授权容量≥180T；</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2. 支持基于Windows、Ubuntu、Redhat、Centos、Oracle Linux、suse、openEuler、麒麟 kylin、统信UOS、FusionOS、AnolisOS等各类操作系统的各个版本的备份和恢复功能；</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3. 支持对Oracle、SQL Server、MySQL、达梦、DB2、人大金仓、PostgreSQL、HANA等主流数据库备份与恢复功能；</w:t>
            </w:r>
          </w:p>
          <w:p w14:paraId="3FA8CBEF">
            <w:pPr>
              <w:jc w:val="left"/>
              <w:textAlignment w:val="center"/>
              <w:rPr>
                <w:rFonts w:ascii="仿宋" w:hAnsi="仿宋" w:eastAsia="仿宋" w:cs="仿宋"/>
                <w:kern w:val="0"/>
                <w:sz w:val="22"/>
                <w:szCs w:val="22"/>
                <w:lang w:val="en-US" w:eastAsia="zh-CN" w:bidi="ar"/>
              </w:rPr>
            </w:pPr>
            <w:r>
              <w:rPr>
                <w:rFonts w:ascii="仿宋" w:hAnsi="仿宋" w:eastAsia="仿宋" w:cs="仿宋"/>
                <w:kern w:val="0"/>
                <w:sz w:val="22"/>
                <w:szCs w:val="22"/>
                <w:lang w:val="en-US" w:eastAsia="zh-CN" w:bidi="ar"/>
              </w:rPr>
              <w:t>4. 支持细粒度恢复功能，无需进行整机恢复，即可快速找回主机内某单一文件或文件夹，提升恢复效率；</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5. 实现灾备系统集中管理，容灾备份状态监控、资源编排、灾难统一切换等功能；</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6. ★支持虚拟机同平台及跨平台恢复，可支持同时启动多个时间点数据副本恢复至同平台或异构平台上；</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7. 内置数据安全管控模块，支持自定义安全备份模式，可根据实际业务需求提供多种可选安全模式，将备份数据与生产网络完全隔离，形成不可被攻击的数据副本。可以有效防止备份数据被篡改、加密或恶意删除</w:t>
            </w:r>
            <w:r>
              <w:rPr>
                <w:rFonts w:hint="eastAsia" w:ascii="仿宋" w:hAnsi="仿宋" w:eastAsia="仿宋" w:cs="仿宋"/>
                <w:kern w:val="0"/>
                <w:sz w:val="22"/>
                <w:szCs w:val="22"/>
                <w:lang w:val="en-US" w:eastAsia="zh-CN" w:bidi="ar"/>
              </w:rPr>
              <w:t>。</w:t>
            </w:r>
          </w:p>
        </w:tc>
      </w:tr>
      <w:tr w14:paraId="1512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7" w:type="dxa"/>
            <w:tcBorders>
              <w:top w:val="single" w:color="auto" w:sz="4" w:space="0"/>
              <w:left w:val="single" w:color="auto" w:sz="4" w:space="0"/>
              <w:bottom w:val="single" w:color="auto" w:sz="4" w:space="0"/>
              <w:right w:val="single" w:color="auto" w:sz="4" w:space="0"/>
            </w:tcBorders>
            <w:vAlign w:val="center"/>
          </w:tcPr>
          <w:p w14:paraId="1F5CDC6B">
            <w:pPr>
              <w:pStyle w:val="50"/>
              <w:adjustRightInd w:val="0"/>
              <w:snapToGrid w:val="0"/>
              <w:spacing w:after="0"/>
              <w:ind w:left="0" w:leftChars="0" w:firstLine="0" w:firstLineChars="0"/>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8</w:t>
            </w:r>
          </w:p>
        </w:tc>
        <w:tc>
          <w:tcPr>
            <w:tcW w:w="1227" w:type="dxa"/>
            <w:tcBorders>
              <w:top w:val="single" w:color="auto" w:sz="4" w:space="0"/>
              <w:left w:val="single" w:color="auto" w:sz="4" w:space="0"/>
              <w:bottom w:val="single" w:color="auto" w:sz="4" w:space="0"/>
              <w:right w:val="single" w:color="auto" w:sz="4" w:space="0"/>
            </w:tcBorders>
            <w:vAlign w:val="center"/>
          </w:tcPr>
          <w:p w14:paraId="36318EAE">
            <w:pPr>
              <w:jc w:val="center"/>
              <w:textAlignment w:val="center"/>
              <w:rPr>
                <w:rFonts w:ascii="仿宋" w:hAnsi="仿宋" w:eastAsia="仿宋" w:cs="仿宋"/>
                <w:color w:val="auto"/>
                <w:kern w:val="0"/>
                <w:sz w:val="24"/>
                <w:szCs w:val="24"/>
                <w:lang w:val="en-US" w:eastAsia="zh-CN" w:bidi="ar"/>
              </w:rPr>
            </w:pPr>
            <w:r>
              <w:rPr>
                <w:rFonts w:ascii="仿宋" w:hAnsi="仿宋" w:eastAsia="仿宋" w:cs="仿宋"/>
                <w:color w:val="auto"/>
                <w:kern w:val="0"/>
                <w:sz w:val="24"/>
                <w:szCs w:val="24"/>
                <w:lang w:val="en-US" w:eastAsia="zh-CN" w:bidi="ar"/>
              </w:rPr>
              <w:t>25G交换机</w:t>
            </w:r>
          </w:p>
        </w:tc>
        <w:tc>
          <w:tcPr>
            <w:tcW w:w="8424" w:type="dxa"/>
            <w:tcBorders>
              <w:top w:val="single" w:color="auto" w:sz="4" w:space="0"/>
              <w:left w:val="single" w:color="auto" w:sz="4" w:space="0"/>
              <w:bottom w:val="single" w:color="auto" w:sz="4" w:space="0"/>
              <w:right w:val="single" w:color="auto" w:sz="4" w:space="0"/>
            </w:tcBorders>
            <w:vAlign w:val="center"/>
          </w:tcPr>
          <w:p w14:paraId="305D854B">
            <w:pPr>
              <w:jc w:val="left"/>
              <w:textAlignment w:val="center"/>
              <w:rPr>
                <w:rFonts w:ascii="仿宋" w:hAnsi="仿宋" w:eastAsia="仿宋" w:cs="仿宋"/>
                <w:kern w:val="0"/>
                <w:sz w:val="22"/>
                <w:szCs w:val="22"/>
                <w:lang w:val="en-US" w:eastAsia="zh-CN" w:bidi="ar"/>
              </w:rPr>
            </w:pPr>
            <w:r>
              <w:rPr>
                <w:rFonts w:ascii="仿宋" w:hAnsi="仿宋" w:eastAsia="仿宋" w:cs="仿宋"/>
                <w:kern w:val="0"/>
                <w:sz w:val="22"/>
                <w:szCs w:val="22"/>
                <w:lang w:val="en-US" w:eastAsia="zh-CN" w:bidi="ar"/>
              </w:rPr>
              <w:t>1、★交换容量≥4.8Tbps，包转发率≥2700Mpps；</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2、端口要求：25GE光口（兼容10GE）数量≥48个，固定100GE光接口≥6个(兼容40GE)；满配电源、风扇；实配5米40GE堆叠线缆≥1条，10GE多模模块≥2个，25GE多模模块≥24个，40GE多模模块≥4个；</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3、ARP 表容量≥140K，MAC地址表容量≥390K，IPv4 路由规格≥256K；</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4、支持网络切片，配置回滚，攻击溯源功能；</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5、支持M-LAG，支持堆叠；支持Telemetry技术，业务随行；</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6、支持端到端加密组网</w:t>
            </w:r>
            <w:r>
              <w:rPr>
                <w:rFonts w:hint="eastAsia" w:ascii="仿宋" w:hAnsi="仿宋" w:eastAsia="仿宋" w:cs="仿宋"/>
                <w:kern w:val="0"/>
                <w:sz w:val="22"/>
                <w:szCs w:val="22"/>
                <w:lang w:val="en-US" w:eastAsia="zh-CN" w:bidi="ar"/>
              </w:rPr>
              <w:t>。</w:t>
            </w:r>
          </w:p>
        </w:tc>
      </w:tr>
      <w:tr w14:paraId="70F9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7" w:type="dxa"/>
            <w:tcBorders>
              <w:top w:val="single" w:color="auto" w:sz="4" w:space="0"/>
              <w:left w:val="single" w:color="auto" w:sz="4" w:space="0"/>
              <w:bottom w:val="single" w:color="auto" w:sz="4" w:space="0"/>
              <w:right w:val="single" w:color="auto" w:sz="4" w:space="0"/>
            </w:tcBorders>
            <w:vAlign w:val="center"/>
          </w:tcPr>
          <w:p w14:paraId="7E61ADBA">
            <w:pPr>
              <w:pStyle w:val="50"/>
              <w:adjustRightInd w:val="0"/>
              <w:snapToGrid w:val="0"/>
              <w:spacing w:after="0"/>
              <w:ind w:left="0" w:leftChars="0" w:firstLine="0" w:firstLineChars="0"/>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9</w:t>
            </w:r>
          </w:p>
        </w:tc>
        <w:tc>
          <w:tcPr>
            <w:tcW w:w="1227" w:type="dxa"/>
            <w:tcBorders>
              <w:top w:val="single" w:color="auto" w:sz="4" w:space="0"/>
              <w:left w:val="single" w:color="auto" w:sz="4" w:space="0"/>
              <w:bottom w:val="single" w:color="auto" w:sz="4" w:space="0"/>
              <w:right w:val="single" w:color="auto" w:sz="4" w:space="0"/>
            </w:tcBorders>
            <w:vAlign w:val="center"/>
          </w:tcPr>
          <w:p w14:paraId="7BC1D692">
            <w:pPr>
              <w:jc w:val="center"/>
              <w:textAlignment w:val="center"/>
              <w:rPr>
                <w:rFonts w:ascii="仿宋" w:hAnsi="仿宋" w:eastAsia="仿宋" w:cs="仿宋"/>
                <w:color w:val="auto"/>
                <w:kern w:val="0"/>
                <w:sz w:val="24"/>
                <w:szCs w:val="24"/>
                <w:lang w:val="en-US" w:eastAsia="zh-CN" w:bidi="ar"/>
              </w:rPr>
            </w:pPr>
            <w:r>
              <w:rPr>
                <w:rFonts w:ascii="仿宋" w:hAnsi="仿宋" w:eastAsia="仿宋" w:cs="仿宋"/>
                <w:color w:val="auto"/>
                <w:kern w:val="0"/>
                <w:sz w:val="24"/>
                <w:szCs w:val="24"/>
                <w:lang w:val="en-US" w:eastAsia="zh-CN" w:bidi="ar"/>
              </w:rPr>
              <w:t>内网&amp;外网准入系统</w:t>
            </w:r>
          </w:p>
        </w:tc>
        <w:tc>
          <w:tcPr>
            <w:tcW w:w="8424" w:type="dxa"/>
            <w:tcBorders>
              <w:top w:val="single" w:color="auto" w:sz="4" w:space="0"/>
              <w:left w:val="single" w:color="auto" w:sz="4" w:space="0"/>
              <w:bottom w:val="single" w:color="auto" w:sz="4" w:space="0"/>
              <w:right w:val="single" w:color="auto" w:sz="4" w:space="0"/>
            </w:tcBorders>
            <w:vAlign w:val="center"/>
          </w:tcPr>
          <w:p w14:paraId="1074FC80">
            <w:pPr>
              <w:jc w:val="left"/>
              <w:textAlignment w:val="center"/>
              <w:rPr>
                <w:rFonts w:ascii="仿宋" w:hAnsi="仿宋" w:eastAsia="仿宋" w:cs="仿宋"/>
                <w:kern w:val="0"/>
                <w:sz w:val="22"/>
                <w:szCs w:val="22"/>
                <w:lang w:val="en-US" w:eastAsia="zh-CN" w:bidi="ar"/>
              </w:rPr>
            </w:pPr>
            <w:r>
              <w:rPr>
                <w:rFonts w:hint="eastAsia" w:ascii="仿宋" w:hAnsi="仿宋" w:eastAsia="仿宋" w:cs="仿宋"/>
                <w:kern w:val="0"/>
                <w:sz w:val="22"/>
                <w:szCs w:val="22"/>
                <w:lang w:val="en-US" w:eastAsia="zh-CN" w:bidi="ar"/>
              </w:rPr>
              <w:t>1、</w:t>
            </w:r>
            <w:r>
              <w:rPr>
                <w:rFonts w:ascii="仿宋" w:hAnsi="仿宋" w:eastAsia="仿宋" w:cs="仿宋"/>
                <w:kern w:val="0"/>
                <w:sz w:val="22"/>
                <w:szCs w:val="22"/>
                <w:lang w:val="en-US" w:eastAsia="zh-CN" w:bidi="ar"/>
              </w:rPr>
              <w:t>支持办公网、视频监控网、物联网等多种终端设备类型的混合网络场景，实现设备发现、网络边界管理、入网控制、合规评估等泛终端准入控制管理功能。配置：≥1个Console口，≥2个USB口，≥4个千兆电口，≥2个万兆光口，CPU：≥8核，≥16GB内存，≥4TB 硬盘，双电源，2U设备；</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2、 产品支持多种认证控制方式，支持802.1x、portal、DHCP、MAB MAC、策略路由、旁路镜像、WebAuth等方式，支持无线和有线环境下的接入控制，适应复杂网络环境下的接入控制。</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3、图形化展示网络拓扑，以图形化形式展示网络内设备与设备之间的网络通讯关系，基于图形化数据可直观定位关键应用设备；</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4、检测是否安装客户端，达到入网遵从条件，保障入网终端是安全可信的，未安装客户端的终端禁止访问，将被重定向到客户端安装页面快速引导部署；</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5、通过小路由、VPN等场景接入的经过NAT转换后的终端必须安装客户端并经过身份认证后方可接入网络；</w:t>
            </w:r>
          </w:p>
          <w:p w14:paraId="09F27A8C">
            <w:pPr>
              <w:jc w:val="left"/>
              <w:textAlignment w:val="center"/>
              <w:rPr>
                <w:rFonts w:ascii="仿宋" w:hAnsi="仿宋" w:eastAsia="仿宋" w:cs="仿宋"/>
                <w:kern w:val="0"/>
                <w:sz w:val="22"/>
                <w:szCs w:val="22"/>
                <w:lang w:val="en-US" w:eastAsia="zh-CN" w:bidi="ar"/>
              </w:rPr>
            </w:pPr>
            <w:r>
              <w:rPr>
                <w:rFonts w:ascii="仿宋" w:hAnsi="仿宋" w:eastAsia="仿宋" w:cs="仿宋"/>
                <w:kern w:val="0"/>
                <w:sz w:val="22"/>
                <w:szCs w:val="22"/>
                <w:lang w:val="en-US" w:eastAsia="zh-CN" w:bidi="ar"/>
              </w:rPr>
              <w:t>6、支持802.1x网络环境下基于用户、角色、设备类型、设备分组、设备标签等属性动态下发VLAN、ACL；</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7、支持基于不同设备类型定义访问控制规则，特定类型的设备仅允许访问指定的关键服务器，并只允许合法的协议通过；</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8、本次实配总点数≥4000点授权，其中内网≥3000点，外网≥1000点</w:t>
            </w:r>
            <w:r>
              <w:rPr>
                <w:rFonts w:hint="eastAsia" w:ascii="仿宋" w:hAnsi="仿宋" w:eastAsia="仿宋" w:cs="仿宋"/>
                <w:kern w:val="0"/>
                <w:sz w:val="22"/>
                <w:szCs w:val="22"/>
                <w:lang w:val="en-US" w:eastAsia="zh-CN" w:bidi="ar"/>
              </w:rPr>
              <w:t>。</w:t>
            </w:r>
          </w:p>
        </w:tc>
      </w:tr>
      <w:tr w14:paraId="78E5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7" w:type="dxa"/>
            <w:tcBorders>
              <w:top w:val="single" w:color="auto" w:sz="4" w:space="0"/>
              <w:left w:val="single" w:color="auto" w:sz="4" w:space="0"/>
              <w:bottom w:val="single" w:color="auto" w:sz="4" w:space="0"/>
              <w:right w:val="single" w:color="auto" w:sz="4" w:space="0"/>
            </w:tcBorders>
            <w:vAlign w:val="center"/>
          </w:tcPr>
          <w:p w14:paraId="7AC9FD8A">
            <w:pPr>
              <w:pStyle w:val="50"/>
              <w:adjustRightInd w:val="0"/>
              <w:snapToGrid w:val="0"/>
              <w:spacing w:after="0"/>
              <w:ind w:left="0" w:leftChars="0" w:firstLine="0" w:firstLineChars="0"/>
              <w:jc w:val="center"/>
              <w:rPr>
                <w:rFonts w:hint="eastAsia" w:ascii="仿宋" w:hAnsi="仿宋" w:eastAsia="仿宋" w:cs="仿宋"/>
                <w:color w:val="000000"/>
                <w:kern w:val="0"/>
                <w:sz w:val="24"/>
                <w:lang w:val="en-US" w:eastAsia="zh-CN" w:bidi="ar"/>
              </w:rPr>
            </w:pPr>
            <w:r>
              <w:rPr>
                <w:rFonts w:hint="eastAsia" w:ascii="仿宋" w:hAnsi="仿宋" w:eastAsia="仿宋" w:cs="仿宋"/>
                <w:color w:val="000000"/>
                <w:kern w:val="0"/>
                <w:sz w:val="24"/>
                <w:lang w:val="en-US" w:eastAsia="zh-CN" w:bidi="ar"/>
              </w:rPr>
              <w:t>10</w:t>
            </w:r>
          </w:p>
        </w:tc>
        <w:tc>
          <w:tcPr>
            <w:tcW w:w="1227" w:type="dxa"/>
            <w:tcBorders>
              <w:top w:val="single" w:color="auto" w:sz="4" w:space="0"/>
              <w:left w:val="single" w:color="auto" w:sz="4" w:space="0"/>
              <w:bottom w:val="single" w:color="auto" w:sz="4" w:space="0"/>
              <w:right w:val="single" w:color="auto" w:sz="4" w:space="0"/>
            </w:tcBorders>
            <w:vAlign w:val="center"/>
          </w:tcPr>
          <w:p w14:paraId="45E7C705">
            <w:pPr>
              <w:jc w:val="center"/>
              <w:textAlignment w:val="center"/>
              <w:rPr>
                <w:rFonts w:ascii="仿宋" w:hAnsi="仿宋" w:eastAsia="仿宋" w:cs="仿宋"/>
                <w:color w:val="auto"/>
                <w:kern w:val="0"/>
                <w:sz w:val="24"/>
                <w:szCs w:val="24"/>
                <w:lang w:val="en-US" w:eastAsia="zh-CN" w:bidi="ar"/>
              </w:rPr>
            </w:pPr>
            <w:r>
              <w:rPr>
                <w:rFonts w:ascii="仿宋" w:hAnsi="仿宋" w:eastAsia="仿宋" w:cs="仿宋"/>
                <w:color w:val="auto"/>
                <w:kern w:val="0"/>
                <w:sz w:val="24"/>
                <w:szCs w:val="24"/>
                <w:lang w:val="en-US" w:eastAsia="zh-CN" w:bidi="ar"/>
              </w:rPr>
              <w:t>数据中心防火墙</w:t>
            </w:r>
          </w:p>
        </w:tc>
        <w:tc>
          <w:tcPr>
            <w:tcW w:w="8424" w:type="dxa"/>
            <w:tcBorders>
              <w:top w:val="single" w:color="auto" w:sz="4" w:space="0"/>
              <w:left w:val="single" w:color="auto" w:sz="4" w:space="0"/>
              <w:bottom w:val="single" w:color="auto" w:sz="4" w:space="0"/>
              <w:right w:val="single" w:color="auto" w:sz="4" w:space="0"/>
            </w:tcBorders>
            <w:vAlign w:val="center"/>
          </w:tcPr>
          <w:p w14:paraId="75A167A4">
            <w:pPr>
              <w:jc w:val="left"/>
              <w:textAlignment w:val="center"/>
              <w:rPr>
                <w:rFonts w:ascii="仿宋" w:hAnsi="仿宋" w:eastAsia="仿宋" w:cs="仿宋"/>
                <w:kern w:val="0"/>
                <w:sz w:val="22"/>
                <w:szCs w:val="22"/>
                <w:lang w:val="en-US" w:eastAsia="zh-CN" w:bidi="ar"/>
              </w:rPr>
            </w:pPr>
            <w:r>
              <w:rPr>
                <w:rFonts w:ascii="仿宋" w:hAnsi="仿宋" w:eastAsia="仿宋" w:cs="仿宋"/>
                <w:kern w:val="0"/>
                <w:sz w:val="22"/>
                <w:szCs w:val="22"/>
                <w:lang w:val="en-US" w:eastAsia="zh-CN" w:bidi="ar"/>
              </w:rPr>
              <w:t>1、防火墙吞吐量≥35Gbps，最大并发连接数≥1500万，每秒新建连接数≥45万，IPS吞吐量≥10Gbps；</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2、实配：千兆Combo接口≥4个，千兆电口≥4个，万兆光口≥10个；CPU处理器规格：CPU≥16核，主频≥2.0G Hz；</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3、实配SSD硬盘≥240G，三年IPS、AV、URL过滤特征库升级服务，双电源，配置10个10GE多模模块；</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4、支持≥2路Bypass卡；</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5、支持多协议病毒检测如HTTP、FTP、SSH、SMTP、IMAP等功能；</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6、支持数据库软件（MySQL、Oracle）的口令暴力破解防护功能；</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7、支持基于Flood攻击和恶意扫描的阈值学习功能</w:t>
            </w:r>
            <w:r>
              <w:rPr>
                <w:rFonts w:hint="eastAsia" w:ascii="仿宋" w:hAnsi="仿宋" w:eastAsia="仿宋" w:cs="仿宋"/>
                <w:kern w:val="0"/>
                <w:sz w:val="22"/>
                <w:szCs w:val="22"/>
                <w:lang w:val="en-US" w:eastAsia="zh-CN" w:bidi="ar"/>
              </w:rPr>
              <w:t>。</w:t>
            </w:r>
          </w:p>
        </w:tc>
      </w:tr>
      <w:tr w14:paraId="24A8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7" w:type="dxa"/>
            <w:tcBorders>
              <w:top w:val="single" w:color="auto" w:sz="4" w:space="0"/>
              <w:left w:val="single" w:color="auto" w:sz="4" w:space="0"/>
              <w:bottom w:val="single" w:color="auto" w:sz="4" w:space="0"/>
              <w:right w:val="single" w:color="auto" w:sz="4" w:space="0"/>
            </w:tcBorders>
            <w:vAlign w:val="center"/>
          </w:tcPr>
          <w:p w14:paraId="3BDB0E14">
            <w:pPr>
              <w:pStyle w:val="50"/>
              <w:adjustRightInd w:val="0"/>
              <w:snapToGrid w:val="0"/>
              <w:spacing w:after="0"/>
              <w:ind w:left="0" w:leftChars="0" w:firstLine="0" w:firstLineChars="0"/>
              <w:jc w:val="center"/>
              <w:rPr>
                <w:rFonts w:hint="eastAsia" w:ascii="仿宋" w:hAnsi="仿宋" w:eastAsia="仿宋" w:cs="仿宋"/>
                <w:color w:val="000000"/>
                <w:kern w:val="0"/>
                <w:sz w:val="24"/>
                <w:lang w:val="en-US" w:eastAsia="zh-CN" w:bidi="ar"/>
              </w:rPr>
            </w:pPr>
            <w:r>
              <w:rPr>
                <w:rFonts w:hint="eastAsia" w:ascii="仿宋" w:hAnsi="仿宋" w:eastAsia="仿宋" w:cs="仿宋"/>
                <w:color w:val="000000"/>
                <w:kern w:val="0"/>
                <w:sz w:val="24"/>
                <w:lang w:val="en-US" w:eastAsia="zh-CN" w:bidi="ar"/>
              </w:rPr>
              <w:t>11</w:t>
            </w:r>
          </w:p>
        </w:tc>
        <w:tc>
          <w:tcPr>
            <w:tcW w:w="1227" w:type="dxa"/>
            <w:tcBorders>
              <w:top w:val="single" w:color="auto" w:sz="4" w:space="0"/>
              <w:left w:val="single" w:color="auto" w:sz="4" w:space="0"/>
              <w:bottom w:val="single" w:color="auto" w:sz="4" w:space="0"/>
              <w:right w:val="single" w:color="auto" w:sz="4" w:space="0"/>
            </w:tcBorders>
            <w:vAlign w:val="center"/>
          </w:tcPr>
          <w:p w14:paraId="69A4FD10">
            <w:pPr>
              <w:jc w:val="center"/>
              <w:textAlignment w:val="center"/>
              <w:rPr>
                <w:rFonts w:ascii="仿宋" w:hAnsi="仿宋" w:eastAsia="仿宋" w:cs="仿宋"/>
                <w:color w:val="auto"/>
                <w:kern w:val="0"/>
                <w:sz w:val="24"/>
                <w:szCs w:val="24"/>
                <w:lang w:val="en-US" w:eastAsia="zh-CN" w:bidi="ar"/>
              </w:rPr>
            </w:pPr>
            <w:r>
              <w:rPr>
                <w:rFonts w:ascii="仿宋" w:hAnsi="仿宋" w:eastAsia="仿宋" w:cs="仿宋"/>
                <w:color w:val="auto"/>
                <w:kern w:val="0"/>
                <w:sz w:val="24"/>
                <w:szCs w:val="24"/>
                <w:lang w:val="en-US" w:eastAsia="zh-CN" w:bidi="ar"/>
              </w:rPr>
              <w:t>WAF</w:t>
            </w:r>
          </w:p>
        </w:tc>
        <w:tc>
          <w:tcPr>
            <w:tcW w:w="8424" w:type="dxa"/>
            <w:tcBorders>
              <w:top w:val="single" w:color="auto" w:sz="4" w:space="0"/>
              <w:left w:val="single" w:color="auto" w:sz="4" w:space="0"/>
              <w:bottom w:val="single" w:color="auto" w:sz="4" w:space="0"/>
              <w:right w:val="single" w:color="auto" w:sz="4" w:space="0"/>
            </w:tcBorders>
            <w:vAlign w:val="center"/>
          </w:tcPr>
          <w:p w14:paraId="2AC71421">
            <w:pPr>
              <w:jc w:val="left"/>
              <w:textAlignment w:val="center"/>
              <w:rPr>
                <w:rFonts w:ascii="仿宋" w:hAnsi="仿宋" w:eastAsia="仿宋" w:cs="仿宋"/>
                <w:kern w:val="0"/>
                <w:sz w:val="22"/>
                <w:szCs w:val="22"/>
                <w:lang w:val="en-US" w:eastAsia="zh-CN" w:bidi="ar"/>
              </w:rPr>
            </w:pPr>
            <w:r>
              <w:rPr>
                <w:rFonts w:ascii="仿宋" w:hAnsi="仿宋" w:eastAsia="仿宋" w:cs="仿宋"/>
                <w:kern w:val="0"/>
                <w:sz w:val="22"/>
                <w:szCs w:val="22"/>
                <w:lang w:val="en-US" w:eastAsia="zh-CN" w:bidi="ar"/>
              </w:rPr>
              <w:t>1、标准机架设备；至少配备独立的1个CON口，2个USB3.0口，1个千兆MGT口，1个千兆HA口；配备万兆SFP+光口≥2个，千兆SFP光口≥8个，千兆电口≥16个（至少包含2对bypass）；配备≥480G SSD硬盘；配备双冗余热插拔电源及热插拔风扇；</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2、网络层吞吐量≥13Gbps；整机并发连接数≥75万；HTTP应用吞吐≥8G；HTTP新建≥3.5万；</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3、支持IPv4、IPv6双栈部署，可同时添加IPv4和IPv6地址为保护站点，https站点可以同时配置商密算法+国密算法；</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4、支持透明串接、镜像监听、反向代理（串接及单臂）、牵引等部署方式；系统具备注入攻击防御能力，可以对SQL注入、LDAP注入、SSI指令注入、Xpath注入、命令注入、远程文件包含以及其他注入进行防御；</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5、系统具备跨站攻击防御能力，可以对XSS和CSRF攻击进行防御；系统具备信息泄露防御能力，可以防止服务器错误、数据库错误、Web目录内容、程序代码、关键字（支持中文）等信息的泄露；</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6、支持网站自学习，可根据URL、HTTP头部内容、IP信誉、GeoIP等信息进行访问控制；</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7、系统具备保护Cookie安全能力，可以防止Cookie被恶意篡改、Cookie被恶意劫持；系统具备Web访问控制能力，可以对扫描器的扫描行为、爬虫行为、目录遍历行为进行防御；</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8、支持静态网页缓存和篡改监控，在检测到篡改发生时，可以将篡改前的缓存页面返回给用户；支持对篡改内容的取证；</w:t>
            </w:r>
            <w:r>
              <w:rPr>
                <w:rFonts w:ascii="仿宋" w:hAnsi="仿宋" w:eastAsia="仿宋" w:cs="仿宋"/>
                <w:kern w:val="0"/>
                <w:sz w:val="22"/>
                <w:szCs w:val="22"/>
                <w:lang w:val="en-US" w:eastAsia="zh-CN" w:bidi="ar"/>
              </w:rPr>
              <w:br w:type="textWrapping"/>
            </w:r>
            <w:r>
              <w:rPr>
                <w:rFonts w:ascii="仿宋" w:hAnsi="仿宋" w:eastAsia="仿宋" w:cs="仿宋"/>
                <w:kern w:val="0"/>
                <w:sz w:val="22"/>
                <w:szCs w:val="22"/>
                <w:lang w:val="en-US" w:eastAsia="zh-CN" w:bidi="ar"/>
              </w:rPr>
              <w:t>9、配置三年原厂维保，三年WAF特征库升级服务</w:t>
            </w:r>
            <w:r>
              <w:rPr>
                <w:rFonts w:hint="eastAsia" w:ascii="仿宋" w:hAnsi="仿宋" w:eastAsia="仿宋" w:cs="仿宋"/>
                <w:kern w:val="0"/>
                <w:sz w:val="22"/>
                <w:szCs w:val="22"/>
                <w:lang w:val="en-US" w:eastAsia="zh-CN" w:bidi="ar"/>
              </w:rPr>
              <w:t>。</w:t>
            </w:r>
          </w:p>
        </w:tc>
      </w:tr>
      <w:tr w14:paraId="17F31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7" w:type="dxa"/>
            <w:tcBorders>
              <w:top w:val="single" w:color="auto" w:sz="4" w:space="0"/>
              <w:left w:val="single" w:color="auto" w:sz="4" w:space="0"/>
              <w:bottom w:val="single" w:color="auto" w:sz="4" w:space="0"/>
              <w:right w:val="single" w:color="auto" w:sz="4" w:space="0"/>
            </w:tcBorders>
            <w:vAlign w:val="center"/>
          </w:tcPr>
          <w:p w14:paraId="7FE136A7">
            <w:pPr>
              <w:pStyle w:val="50"/>
              <w:adjustRightInd w:val="0"/>
              <w:snapToGrid w:val="0"/>
              <w:spacing w:after="0"/>
              <w:ind w:left="0" w:leftChars="0" w:firstLine="0" w:firstLineChars="0"/>
              <w:jc w:val="center"/>
              <w:rPr>
                <w:rFonts w:hint="eastAsia" w:ascii="仿宋" w:hAnsi="仿宋" w:eastAsia="仿宋" w:cs="仿宋"/>
                <w:color w:val="000000"/>
                <w:kern w:val="0"/>
                <w:sz w:val="24"/>
                <w:lang w:val="en-US" w:eastAsia="zh-CN" w:bidi="ar"/>
              </w:rPr>
            </w:pPr>
            <w:r>
              <w:rPr>
                <w:rFonts w:hint="eastAsia" w:ascii="仿宋" w:hAnsi="仿宋" w:eastAsia="仿宋" w:cs="仿宋"/>
                <w:color w:val="000000"/>
                <w:kern w:val="0"/>
                <w:sz w:val="24"/>
                <w:lang w:val="en-US" w:eastAsia="zh-CN" w:bidi="ar"/>
              </w:rPr>
              <w:t>12</w:t>
            </w:r>
          </w:p>
        </w:tc>
        <w:tc>
          <w:tcPr>
            <w:tcW w:w="1227" w:type="dxa"/>
            <w:tcBorders>
              <w:top w:val="single" w:color="auto" w:sz="4" w:space="0"/>
              <w:left w:val="single" w:color="auto" w:sz="4" w:space="0"/>
              <w:bottom w:val="single" w:color="auto" w:sz="4" w:space="0"/>
              <w:right w:val="single" w:color="auto" w:sz="4" w:space="0"/>
            </w:tcBorders>
            <w:vAlign w:val="center"/>
          </w:tcPr>
          <w:p w14:paraId="529868FA">
            <w:pPr>
              <w:jc w:val="center"/>
              <w:textAlignment w:val="center"/>
              <w:rPr>
                <w:rFonts w:ascii="仿宋" w:hAnsi="仿宋" w:eastAsia="仿宋" w:cs="仿宋"/>
                <w:color w:val="auto"/>
                <w:kern w:val="0"/>
                <w:sz w:val="24"/>
                <w:szCs w:val="24"/>
                <w:lang w:val="en-US" w:eastAsia="zh-CN" w:bidi="ar"/>
              </w:rPr>
            </w:pPr>
            <w:r>
              <w:rPr>
                <w:rFonts w:ascii="仿宋" w:hAnsi="仿宋" w:eastAsia="仿宋" w:cs="仿宋"/>
                <w:color w:val="auto"/>
                <w:kern w:val="0"/>
                <w:sz w:val="24"/>
                <w:szCs w:val="24"/>
                <w:lang w:val="en-US" w:eastAsia="zh-CN" w:bidi="ar"/>
              </w:rPr>
              <w:t>集成服务</w:t>
            </w:r>
          </w:p>
        </w:tc>
        <w:tc>
          <w:tcPr>
            <w:tcW w:w="8424" w:type="dxa"/>
            <w:tcBorders>
              <w:top w:val="single" w:color="auto" w:sz="4" w:space="0"/>
              <w:left w:val="single" w:color="auto" w:sz="4" w:space="0"/>
              <w:bottom w:val="single" w:color="auto" w:sz="4" w:space="0"/>
              <w:right w:val="single" w:color="auto" w:sz="4" w:space="0"/>
            </w:tcBorders>
            <w:vAlign w:val="center"/>
          </w:tcPr>
          <w:p w14:paraId="56965A1A">
            <w:pPr>
              <w:jc w:val="left"/>
              <w:textAlignment w:val="center"/>
              <w:rPr>
                <w:rFonts w:ascii="仿宋" w:hAnsi="仿宋" w:eastAsia="仿宋" w:cs="仿宋"/>
                <w:kern w:val="0"/>
                <w:sz w:val="22"/>
                <w:szCs w:val="22"/>
                <w:lang w:val="en-US" w:eastAsia="zh-CN" w:bidi="ar"/>
              </w:rPr>
            </w:pPr>
            <w:r>
              <w:rPr>
                <w:rFonts w:ascii="仿宋" w:hAnsi="仿宋" w:eastAsia="仿宋" w:cs="仿宋"/>
                <w:kern w:val="0"/>
                <w:sz w:val="22"/>
                <w:szCs w:val="22"/>
                <w:lang w:val="en-US" w:eastAsia="zh-CN" w:bidi="ar"/>
              </w:rPr>
              <w:t>提供本项目方案规划设计，网络、IT设备割接，项目交付服务</w:t>
            </w:r>
            <w:r>
              <w:rPr>
                <w:rFonts w:hint="eastAsia" w:ascii="仿宋" w:hAnsi="仿宋" w:eastAsia="仿宋" w:cs="仿宋"/>
                <w:kern w:val="0"/>
                <w:sz w:val="22"/>
                <w:szCs w:val="22"/>
                <w:lang w:val="en-US" w:eastAsia="zh-CN" w:bidi="ar"/>
              </w:rPr>
              <w:t>。</w:t>
            </w:r>
          </w:p>
        </w:tc>
      </w:tr>
      <w:tr w14:paraId="22E8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7" w:type="dxa"/>
            <w:tcBorders>
              <w:top w:val="single" w:color="auto" w:sz="4" w:space="0"/>
              <w:left w:val="single" w:color="auto" w:sz="4" w:space="0"/>
              <w:bottom w:val="single" w:color="auto" w:sz="4" w:space="0"/>
              <w:right w:val="single" w:color="auto" w:sz="4" w:space="0"/>
            </w:tcBorders>
            <w:vAlign w:val="center"/>
          </w:tcPr>
          <w:p w14:paraId="0B5F5944">
            <w:pPr>
              <w:pStyle w:val="50"/>
              <w:adjustRightInd w:val="0"/>
              <w:snapToGrid w:val="0"/>
              <w:spacing w:after="0"/>
              <w:ind w:left="0" w:leftChars="0" w:firstLine="0" w:firstLineChars="0"/>
              <w:jc w:val="center"/>
              <w:rPr>
                <w:rFonts w:hint="eastAsia" w:ascii="仿宋" w:hAnsi="仿宋" w:eastAsia="仿宋" w:cs="仿宋"/>
                <w:color w:val="000000"/>
                <w:kern w:val="0"/>
                <w:sz w:val="24"/>
                <w:lang w:val="en-US" w:eastAsia="zh-CN" w:bidi="ar"/>
              </w:rPr>
            </w:pPr>
            <w:r>
              <w:rPr>
                <w:rFonts w:hint="eastAsia" w:ascii="仿宋" w:hAnsi="仿宋" w:eastAsia="仿宋" w:cs="仿宋"/>
                <w:color w:val="000000"/>
                <w:kern w:val="0"/>
                <w:sz w:val="24"/>
                <w:lang w:val="en-US" w:eastAsia="zh-CN" w:bidi="ar"/>
              </w:rPr>
              <w:t>13</w:t>
            </w:r>
          </w:p>
        </w:tc>
        <w:tc>
          <w:tcPr>
            <w:tcW w:w="1227" w:type="dxa"/>
            <w:tcBorders>
              <w:top w:val="single" w:color="auto" w:sz="4" w:space="0"/>
              <w:left w:val="single" w:color="auto" w:sz="4" w:space="0"/>
              <w:bottom w:val="single" w:color="auto" w:sz="4" w:space="0"/>
              <w:right w:val="single" w:color="auto" w:sz="4" w:space="0"/>
            </w:tcBorders>
            <w:vAlign w:val="center"/>
          </w:tcPr>
          <w:p w14:paraId="1459B916">
            <w:pPr>
              <w:jc w:val="center"/>
              <w:textAlignment w:val="center"/>
              <w:rPr>
                <w:rFonts w:ascii="仿宋" w:hAnsi="仿宋" w:eastAsia="仿宋" w:cs="仿宋"/>
                <w:color w:val="auto"/>
                <w:kern w:val="0"/>
                <w:sz w:val="24"/>
                <w:szCs w:val="24"/>
                <w:lang w:val="en-US" w:eastAsia="zh-CN" w:bidi="ar"/>
              </w:rPr>
            </w:pPr>
            <w:r>
              <w:rPr>
                <w:rFonts w:ascii="仿宋" w:hAnsi="仿宋" w:eastAsia="仿宋" w:cs="仿宋"/>
                <w:color w:val="auto"/>
                <w:kern w:val="0"/>
                <w:sz w:val="24"/>
                <w:szCs w:val="24"/>
                <w:lang w:val="en-US" w:eastAsia="zh-CN" w:bidi="ar"/>
              </w:rPr>
              <w:t>驻场服务</w:t>
            </w:r>
          </w:p>
        </w:tc>
        <w:tc>
          <w:tcPr>
            <w:tcW w:w="8424" w:type="dxa"/>
            <w:tcBorders>
              <w:top w:val="single" w:color="auto" w:sz="4" w:space="0"/>
              <w:left w:val="single" w:color="auto" w:sz="4" w:space="0"/>
              <w:bottom w:val="single" w:color="auto" w:sz="4" w:space="0"/>
              <w:right w:val="single" w:color="auto" w:sz="4" w:space="0"/>
            </w:tcBorders>
            <w:vAlign w:val="center"/>
          </w:tcPr>
          <w:p w14:paraId="6D89B348">
            <w:pPr>
              <w:jc w:val="left"/>
              <w:textAlignment w:val="center"/>
              <w:rPr>
                <w:rFonts w:ascii="仿宋" w:hAnsi="仿宋" w:eastAsia="仿宋" w:cs="仿宋"/>
                <w:kern w:val="0"/>
                <w:sz w:val="22"/>
                <w:szCs w:val="22"/>
                <w:lang w:val="en-US" w:eastAsia="zh-CN" w:bidi="ar"/>
              </w:rPr>
            </w:pPr>
            <w:r>
              <w:rPr>
                <w:rFonts w:ascii="仿宋" w:hAnsi="仿宋" w:eastAsia="仿宋" w:cs="仿宋"/>
                <w:kern w:val="0"/>
                <w:sz w:val="22"/>
                <w:szCs w:val="22"/>
                <w:lang w:val="en-US" w:eastAsia="zh-CN" w:bidi="ar"/>
              </w:rPr>
              <w:t>提供三年技术工程师驻场服务1人</w:t>
            </w:r>
            <w:r>
              <w:rPr>
                <w:rFonts w:hint="eastAsia" w:ascii="仿宋" w:hAnsi="仿宋" w:eastAsia="仿宋" w:cs="仿宋"/>
                <w:kern w:val="0"/>
                <w:sz w:val="22"/>
                <w:szCs w:val="22"/>
                <w:lang w:val="en-US" w:eastAsia="zh-CN" w:bidi="ar"/>
              </w:rPr>
              <w:t>，三年原厂质保。</w:t>
            </w:r>
          </w:p>
        </w:tc>
      </w:tr>
    </w:tbl>
    <w:p w14:paraId="66D1354C">
      <w:pPr>
        <w:rPr>
          <w:lang w:val="en-US" w:eastAsia="zh-CN"/>
        </w:rPr>
      </w:pPr>
    </w:p>
    <w:p w14:paraId="01BFEEAE">
      <w:pPr>
        <w:spacing w:after="0" w:line="240" w:lineRule="auto"/>
        <w:rPr>
          <w:rFonts w:hint="default" w:ascii="仿宋_GB2312" w:hAnsi="Times New Roman" w:eastAsia="仿宋_GB2312" w:cs="Times New Roman"/>
          <w:b/>
          <w:bCs/>
          <w:color w:val="auto"/>
          <w:sz w:val="28"/>
          <w:szCs w:val="28"/>
          <w:lang w:val="en-US" w:eastAsia="zh-CN"/>
        </w:rPr>
      </w:pPr>
      <w:r>
        <w:rPr>
          <w:rFonts w:ascii="仿宋_GB2312" w:hAnsi="Times New Roman" w:eastAsia="仿宋_GB2312" w:cs="Times New Roman"/>
          <w:b/>
          <w:bCs/>
          <w:color w:val="auto"/>
          <w:sz w:val="28"/>
          <w:szCs w:val="28"/>
          <w:lang w:val="en-US" w:eastAsia="zh-CN"/>
        </w:rPr>
        <w:br w:type="page"/>
      </w:r>
    </w:p>
    <w:p w14:paraId="41927F66">
      <w:pPr>
        <w:spacing w:line="440" w:lineRule="exact"/>
        <w:ind w:firstLine="562" w:firstLineChars="200"/>
        <w:jc w:val="center"/>
        <w:outlineLvl w:val="1"/>
        <w:rPr>
          <w:rFonts w:ascii="宋体" w:hAnsi="宋体" w:eastAsia="宋体" w:cs="Times New Roman"/>
          <w:b/>
          <w:bCs/>
          <w:color w:val="auto"/>
          <w:sz w:val="28"/>
          <w:szCs w:val="28"/>
          <w:lang w:val="en-US" w:eastAsia="zh-CN"/>
        </w:rPr>
      </w:pPr>
      <w:r>
        <w:rPr>
          <w:rFonts w:ascii="宋体" w:hAnsi="宋体" w:eastAsia="宋体" w:cs="Times New Roman"/>
          <w:b/>
          <w:bCs/>
          <w:color w:val="auto"/>
          <w:sz w:val="28"/>
          <w:szCs w:val="28"/>
          <w:lang w:val="en-US" w:eastAsia="zh-CN"/>
        </w:rPr>
        <w:t>表</w:t>
      </w:r>
      <w:r>
        <w:rPr>
          <w:rFonts w:ascii="宋体" w:hAnsi="宋体" w:eastAsia="宋体" w:cs="Calibri"/>
          <w:b/>
          <w:bCs/>
          <w:color w:val="auto"/>
          <w:sz w:val="28"/>
          <w:szCs w:val="28"/>
          <w:lang w:val="en-US" w:eastAsia="zh-CN"/>
        </w:rPr>
        <w:t>3</w:t>
      </w:r>
      <w:r>
        <w:rPr>
          <w:rFonts w:ascii="宋体" w:hAnsi="宋体" w:eastAsia="宋体" w:cs="Times New Roman"/>
          <w:b/>
          <w:bCs/>
          <w:color w:val="auto"/>
          <w:sz w:val="28"/>
          <w:szCs w:val="28"/>
          <w:lang w:val="en-US" w:eastAsia="zh-CN"/>
        </w:rPr>
        <w:t xml:space="preserve"> </w:t>
      </w:r>
      <w:r>
        <w:rPr>
          <w:rFonts w:ascii="宋体" w:hAnsi="宋体" w:eastAsia="宋体" w:cs="微软雅黑"/>
          <w:b/>
          <w:bCs/>
          <w:color w:val="auto"/>
          <w:sz w:val="28"/>
          <w:szCs w:val="28"/>
          <w:lang w:val="en-US" w:eastAsia="zh-CN"/>
        </w:rPr>
        <w:t>虚拟化</w:t>
      </w:r>
      <w:r>
        <w:rPr>
          <w:rFonts w:ascii="宋体" w:hAnsi="宋体" w:eastAsia="宋体" w:cs="Times New Roman"/>
          <w:b/>
          <w:bCs/>
          <w:color w:val="auto"/>
          <w:sz w:val="28"/>
          <w:szCs w:val="28"/>
          <w:lang w:val="en-US" w:eastAsia="zh-CN"/>
        </w:rPr>
        <w:t>服务器技术参数</w:t>
      </w:r>
    </w:p>
    <w:tbl>
      <w:tblPr>
        <w:tblStyle w:val="51"/>
        <w:tblW w:w="9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628"/>
        <w:gridCol w:w="1379"/>
        <w:gridCol w:w="832"/>
        <w:gridCol w:w="1343"/>
        <w:gridCol w:w="3548"/>
        <w:gridCol w:w="1293"/>
      </w:tblGrid>
      <w:tr w14:paraId="7DB3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4" w:type="dxa"/>
            <w:shd w:val="clear" w:color="auto" w:fill="auto"/>
            <w:vAlign w:val="center"/>
          </w:tcPr>
          <w:p w14:paraId="38994C63">
            <w:pPr>
              <w:jc w:val="center"/>
              <w:textAlignment w:val="center"/>
              <w:rPr>
                <w:rFonts w:ascii="宋体" w:hAnsi="宋体" w:eastAsia="宋体" w:cs="仿宋"/>
                <w:b/>
                <w:bCs/>
                <w:sz w:val="20"/>
                <w:szCs w:val="20"/>
              </w:rPr>
            </w:pPr>
            <w:r>
              <w:rPr>
                <w:rFonts w:ascii="宋体" w:hAnsi="宋体" w:eastAsia="宋体" w:cs="仿宋"/>
                <w:b/>
                <w:bCs/>
                <w:kern w:val="0"/>
                <w:sz w:val="20"/>
                <w:szCs w:val="20"/>
                <w:lang w:val="en-US" w:eastAsia="zh-CN" w:bidi="ar"/>
              </w:rPr>
              <w:t>重要程度</w:t>
            </w:r>
          </w:p>
        </w:tc>
        <w:tc>
          <w:tcPr>
            <w:tcW w:w="628" w:type="dxa"/>
            <w:shd w:val="clear" w:color="auto" w:fill="auto"/>
            <w:vAlign w:val="center"/>
          </w:tcPr>
          <w:p w14:paraId="368E0A4C">
            <w:pPr>
              <w:jc w:val="center"/>
              <w:textAlignment w:val="center"/>
              <w:rPr>
                <w:rFonts w:ascii="宋体" w:hAnsi="宋体" w:eastAsia="宋体" w:cs="仿宋"/>
                <w:b/>
                <w:bCs/>
                <w:sz w:val="20"/>
                <w:szCs w:val="20"/>
              </w:rPr>
            </w:pPr>
            <w:r>
              <w:rPr>
                <w:rFonts w:ascii="宋体" w:hAnsi="宋体" w:eastAsia="宋体" w:cs="仿宋"/>
                <w:b/>
                <w:bCs/>
                <w:kern w:val="0"/>
                <w:sz w:val="20"/>
                <w:szCs w:val="20"/>
                <w:lang w:val="en-US" w:eastAsia="zh-CN" w:bidi="ar"/>
              </w:rPr>
              <w:t>序号</w:t>
            </w:r>
          </w:p>
        </w:tc>
        <w:tc>
          <w:tcPr>
            <w:tcW w:w="1379" w:type="dxa"/>
            <w:shd w:val="clear" w:color="auto" w:fill="auto"/>
            <w:vAlign w:val="center"/>
          </w:tcPr>
          <w:p w14:paraId="6D7F9133">
            <w:pPr>
              <w:jc w:val="center"/>
              <w:textAlignment w:val="center"/>
              <w:rPr>
                <w:rFonts w:ascii="宋体" w:hAnsi="宋体" w:eastAsia="宋体" w:cs="仿宋"/>
                <w:b/>
                <w:bCs/>
                <w:sz w:val="20"/>
                <w:szCs w:val="20"/>
              </w:rPr>
            </w:pPr>
            <w:r>
              <w:rPr>
                <w:rFonts w:ascii="宋体" w:hAnsi="宋体" w:eastAsia="宋体" w:cs="仿宋"/>
                <w:b/>
                <w:bCs/>
                <w:kern w:val="0"/>
                <w:sz w:val="20"/>
                <w:szCs w:val="20"/>
                <w:lang w:val="en-US" w:eastAsia="zh-CN" w:bidi="ar"/>
              </w:rPr>
              <w:t xml:space="preserve">  指标分类</w:t>
            </w:r>
          </w:p>
        </w:tc>
        <w:tc>
          <w:tcPr>
            <w:tcW w:w="832" w:type="dxa"/>
            <w:shd w:val="clear" w:color="auto" w:fill="auto"/>
            <w:vAlign w:val="center"/>
          </w:tcPr>
          <w:p w14:paraId="670BD197">
            <w:pPr>
              <w:jc w:val="center"/>
              <w:textAlignment w:val="center"/>
              <w:rPr>
                <w:rFonts w:ascii="宋体" w:hAnsi="宋体" w:eastAsia="宋体" w:cs="仿宋"/>
                <w:b/>
                <w:bCs/>
                <w:kern w:val="0"/>
                <w:sz w:val="20"/>
                <w:szCs w:val="20"/>
                <w:lang w:val="en-US" w:eastAsia="zh-CN" w:bidi="ar"/>
              </w:rPr>
            </w:pPr>
            <w:r>
              <w:rPr>
                <w:rFonts w:ascii="宋体" w:hAnsi="宋体" w:eastAsia="宋体" w:cs="仿宋"/>
                <w:b/>
                <w:bCs/>
                <w:kern w:val="0"/>
                <w:sz w:val="20"/>
                <w:szCs w:val="20"/>
                <w:lang w:val="en-US" w:eastAsia="zh-CN" w:bidi="ar"/>
              </w:rPr>
              <w:t>一级</w:t>
            </w:r>
          </w:p>
          <w:p w14:paraId="3EDF196D">
            <w:pPr>
              <w:jc w:val="center"/>
              <w:textAlignment w:val="center"/>
              <w:rPr>
                <w:rFonts w:ascii="宋体" w:hAnsi="宋体" w:eastAsia="宋体" w:cs="仿宋"/>
                <w:b/>
                <w:bCs/>
                <w:sz w:val="20"/>
                <w:szCs w:val="20"/>
              </w:rPr>
            </w:pPr>
            <w:r>
              <w:rPr>
                <w:rFonts w:ascii="宋体" w:hAnsi="宋体" w:eastAsia="宋体" w:cs="仿宋"/>
                <w:b/>
                <w:bCs/>
                <w:kern w:val="0"/>
                <w:sz w:val="20"/>
                <w:szCs w:val="20"/>
                <w:lang w:val="en-US" w:eastAsia="zh-CN" w:bidi="ar"/>
              </w:rPr>
              <w:t>指标</w:t>
            </w:r>
          </w:p>
        </w:tc>
        <w:tc>
          <w:tcPr>
            <w:tcW w:w="1343" w:type="dxa"/>
            <w:shd w:val="clear" w:color="auto" w:fill="auto"/>
            <w:vAlign w:val="center"/>
          </w:tcPr>
          <w:p w14:paraId="438BF927">
            <w:pPr>
              <w:jc w:val="center"/>
              <w:textAlignment w:val="center"/>
              <w:rPr>
                <w:rFonts w:ascii="宋体" w:hAnsi="宋体" w:eastAsia="宋体" w:cs="仿宋"/>
                <w:b/>
                <w:bCs/>
                <w:sz w:val="20"/>
                <w:szCs w:val="20"/>
              </w:rPr>
            </w:pPr>
            <w:r>
              <w:rPr>
                <w:rFonts w:ascii="宋体" w:hAnsi="宋体" w:eastAsia="宋体" w:cs="仿宋"/>
                <w:b/>
                <w:bCs/>
                <w:kern w:val="0"/>
                <w:sz w:val="20"/>
                <w:szCs w:val="20"/>
                <w:lang w:val="en-US" w:eastAsia="zh-CN" w:bidi="ar"/>
              </w:rPr>
              <w:t>二级指标</w:t>
            </w:r>
          </w:p>
        </w:tc>
        <w:tc>
          <w:tcPr>
            <w:tcW w:w="3548" w:type="dxa"/>
            <w:shd w:val="clear" w:color="auto" w:fill="auto"/>
            <w:vAlign w:val="center"/>
          </w:tcPr>
          <w:p w14:paraId="548F3D83">
            <w:pPr>
              <w:jc w:val="center"/>
              <w:textAlignment w:val="center"/>
              <w:rPr>
                <w:rFonts w:ascii="宋体" w:hAnsi="宋体" w:eastAsia="宋体" w:cs="仿宋"/>
                <w:b/>
                <w:bCs/>
                <w:sz w:val="20"/>
                <w:szCs w:val="20"/>
              </w:rPr>
            </w:pPr>
            <w:r>
              <w:rPr>
                <w:rFonts w:ascii="宋体" w:hAnsi="宋体" w:eastAsia="宋体" w:cs="仿宋"/>
                <w:b/>
                <w:bCs/>
                <w:kern w:val="0"/>
                <w:sz w:val="20"/>
                <w:szCs w:val="20"/>
                <w:lang w:val="en-US" w:eastAsia="zh-CN" w:bidi="ar"/>
              </w:rPr>
              <w:t>指标要求</w:t>
            </w:r>
          </w:p>
        </w:tc>
        <w:tc>
          <w:tcPr>
            <w:tcW w:w="1293" w:type="dxa"/>
            <w:shd w:val="clear" w:color="auto" w:fill="auto"/>
            <w:vAlign w:val="center"/>
          </w:tcPr>
          <w:p w14:paraId="6D9F6CBE">
            <w:pPr>
              <w:jc w:val="center"/>
              <w:textAlignment w:val="center"/>
              <w:rPr>
                <w:rFonts w:ascii="宋体" w:hAnsi="宋体" w:eastAsia="宋体" w:cs="仿宋"/>
                <w:b/>
                <w:bCs/>
                <w:sz w:val="20"/>
                <w:szCs w:val="20"/>
              </w:rPr>
            </w:pPr>
            <w:r>
              <w:rPr>
                <w:rFonts w:ascii="宋体" w:hAnsi="宋体" w:eastAsia="宋体" w:cs="仿宋"/>
                <w:b/>
                <w:bCs/>
                <w:kern w:val="0"/>
                <w:sz w:val="20"/>
                <w:szCs w:val="20"/>
                <w:lang w:val="en-US" w:eastAsia="zh-CN" w:bidi="ar"/>
              </w:rPr>
              <w:t>证明材料要求</w:t>
            </w:r>
          </w:p>
        </w:tc>
      </w:tr>
      <w:tr w14:paraId="2FAFE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008DD25">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5A45E0A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 </w:t>
            </w:r>
          </w:p>
        </w:tc>
        <w:tc>
          <w:tcPr>
            <w:tcW w:w="1379" w:type="dxa"/>
            <w:shd w:val="clear" w:color="auto" w:fill="auto"/>
            <w:vAlign w:val="center"/>
          </w:tcPr>
          <w:p w14:paraId="7A9F380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  产品规格</w:t>
            </w:r>
          </w:p>
        </w:tc>
        <w:tc>
          <w:tcPr>
            <w:tcW w:w="832" w:type="dxa"/>
            <w:shd w:val="clear" w:color="auto" w:fill="auto"/>
            <w:vAlign w:val="center"/>
          </w:tcPr>
          <w:p w14:paraId="11C3BD1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*CPU规格</w:t>
            </w:r>
          </w:p>
        </w:tc>
        <w:tc>
          <w:tcPr>
            <w:tcW w:w="1343" w:type="dxa"/>
            <w:shd w:val="clear" w:color="auto" w:fill="auto"/>
            <w:vAlign w:val="center"/>
          </w:tcPr>
          <w:p w14:paraId="7AF1D56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*CPU 信息</w:t>
            </w:r>
          </w:p>
        </w:tc>
        <w:tc>
          <w:tcPr>
            <w:tcW w:w="3548" w:type="dxa"/>
            <w:shd w:val="clear" w:color="auto" w:fill="auto"/>
            <w:vAlign w:val="center"/>
          </w:tcPr>
          <w:p w14:paraId="033C4446">
            <w:pPr>
              <w:keepNext w:val="0"/>
              <w:keepLines w:val="0"/>
              <w:widowControl/>
              <w:suppressLineNumbers w:val="0"/>
              <w:jc w:val="left"/>
              <w:textAlignment w:val="center"/>
              <w:rPr>
                <w:rFonts w:ascii="宋体" w:hAnsi="宋体" w:eastAsia="宋体"/>
                <w:lang w:val="en-US" w:eastAsia="zh-CN"/>
              </w:rPr>
            </w:pPr>
            <w:r>
              <w:rPr>
                <w:rFonts w:hint="eastAsia" w:ascii="黑体" w:hAnsi="宋体" w:eastAsia="黑体" w:cs="黑体"/>
                <w:i w:val="0"/>
                <w:iCs w:val="0"/>
                <w:color w:val="000000"/>
                <w:kern w:val="0"/>
                <w:sz w:val="16"/>
                <w:szCs w:val="16"/>
                <w:u w:val="none"/>
                <w:lang w:val="en-US" w:eastAsia="zh-CN" w:bidi="ar"/>
              </w:rPr>
              <w:t>供应商给出CPU 信息，包含 CPU 型号、物理核心数、主频、末级缓存容量、线程数、热设计功耗及支持内存的最高速率、通道数和位宽</w:t>
            </w:r>
          </w:p>
        </w:tc>
        <w:tc>
          <w:tcPr>
            <w:tcW w:w="1293" w:type="dxa"/>
            <w:shd w:val="clear" w:color="auto" w:fill="auto"/>
            <w:vAlign w:val="center"/>
          </w:tcPr>
          <w:p w14:paraId="0354AE5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22C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EE01F98">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07436DC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2 </w:t>
            </w:r>
          </w:p>
        </w:tc>
        <w:tc>
          <w:tcPr>
            <w:tcW w:w="1379" w:type="dxa"/>
            <w:shd w:val="clear" w:color="auto" w:fill="auto"/>
            <w:vAlign w:val="center"/>
          </w:tcPr>
          <w:p w14:paraId="54601BD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  产品规格</w:t>
            </w:r>
          </w:p>
        </w:tc>
        <w:tc>
          <w:tcPr>
            <w:tcW w:w="832" w:type="dxa"/>
            <w:shd w:val="clear" w:color="auto" w:fill="auto"/>
            <w:vAlign w:val="center"/>
          </w:tcPr>
          <w:p w14:paraId="277C928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*主板规格</w:t>
            </w:r>
          </w:p>
        </w:tc>
        <w:tc>
          <w:tcPr>
            <w:tcW w:w="1343" w:type="dxa"/>
            <w:shd w:val="clear" w:color="auto" w:fill="auto"/>
            <w:vAlign w:val="center"/>
          </w:tcPr>
          <w:p w14:paraId="19073691">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*主板支持的 CPU 和内存情况</w:t>
            </w:r>
          </w:p>
        </w:tc>
        <w:tc>
          <w:tcPr>
            <w:tcW w:w="3548" w:type="dxa"/>
            <w:shd w:val="clear" w:color="auto" w:fill="auto"/>
            <w:vAlign w:val="center"/>
          </w:tcPr>
          <w:p w14:paraId="02CE67B0">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供应商给出主板支持的CPU 和内存的型号数量</w:t>
            </w:r>
          </w:p>
        </w:tc>
        <w:tc>
          <w:tcPr>
            <w:tcW w:w="1293" w:type="dxa"/>
            <w:shd w:val="clear" w:color="auto" w:fill="auto"/>
            <w:vAlign w:val="center"/>
          </w:tcPr>
          <w:p w14:paraId="6874621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913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DBD4F27">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90A38B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3 </w:t>
            </w:r>
          </w:p>
        </w:tc>
        <w:tc>
          <w:tcPr>
            <w:tcW w:w="1379" w:type="dxa"/>
            <w:shd w:val="clear" w:color="auto" w:fill="auto"/>
            <w:vAlign w:val="center"/>
          </w:tcPr>
          <w:p w14:paraId="0C66BDA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  产品规格</w:t>
            </w:r>
          </w:p>
        </w:tc>
        <w:tc>
          <w:tcPr>
            <w:tcW w:w="832" w:type="dxa"/>
            <w:shd w:val="clear" w:color="auto" w:fill="auto"/>
            <w:vAlign w:val="center"/>
          </w:tcPr>
          <w:p w14:paraId="186B87B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*主板规格</w:t>
            </w:r>
          </w:p>
        </w:tc>
        <w:tc>
          <w:tcPr>
            <w:tcW w:w="1343" w:type="dxa"/>
            <w:shd w:val="clear" w:color="auto" w:fill="auto"/>
            <w:vAlign w:val="center"/>
          </w:tcPr>
          <w:p w14:paraId="605854B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*主板内存槽数量</w:t>
            </w:r>
          </w:p>
        </w:tc>
        <w:tc>
          <w:tcPr>
            <w:tcW w:w="3548" w:type="dxa"/>
            <w:shd w:val="clear" w:color="auto" w:fill="auto"/>
            <w:vAlign w:val="center"/>
          </w:tcPr>
          <w:p w14:paraId="721D78CF">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非板载内存的可扩展插槽数量不少于 4 个</w:t>
            </w:r>
          </w:p>
        </w:tc>
        <w:tc>
          <w:tcPr>
            <w:tcW w:w="1293" w:type="dxa"/>
            <w:shd w:val="clear" w:color="auto" w:fill="auto"/>
            <w:vAlign w:val="center"/>
          </w:tcPr>
          <w:p w14:paraId="57605C6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3FB17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674" w:type="dxa"/>
            <w:shd w:val="clear" w:color="auto" w:fill="auto"/>
            <w:vAlign w:val="center"/>
          </w:tcPr>
          <w:p w14:paraId="45D9E052">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07F71C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4 </w:t>
            </w:r>
          </w:p>
        </w:tc>
        <w:tc>
          <w:tcPr>
            <w:tcW w:w="1379" w:type="dxa"/>
            <w:shd w:val="clear" w:color="auto" w:fill="auto"/>
            <w:vAlign w:val="center"/>
          </w:tcPr>
          <w:p w14:paraId="51F8CCD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  产品规格</w:t>
            </w:r>
          </w:p>
        </w:tc>
        <w:tc>
          <w:tcPr>
            <w:tcW w:w="832" w:type="dxa"/>
            <w:shd w:val="clear" w:color="auto" w:fill="auto"/>
            <w:vAlign w:val="center"/>
          </w:tcPr>
          <w:p w14:paraId="6824FE9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*主板规格</w:t>
            </w:r>
          </w:p>
        </w:tc>
        <w:tc>
          <w:tcPr>
            <w:tcW w:w="1343" w:type="dxa"/>
            <w:shd w:val="clear" w:color="auto" w:fill="auto"/>
            <w:vAlign w:val="center"/>
          </w:tcPr>
          <w:p w14:paraId="5A37693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*主板存储接口</w:t>
            </w:r>
          </w:p>
        </w:tc>
        <w:tc>
          <w:tcPr>
            <w:tcW w:w="3548" w:type="dxa"/>
            <w:shd w:val="clear" w:color="auto" w:fill="auto"/>
            <w:vAlign w:val="center"/>
          </w:tcPr>
          <w:p w14:paraId="4DB9189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至少支持 SATA、SAS、M.2、U.2 等存储接口中的 1 种</w:t>
            </w:r>
          </w:p>
        </w:tc>
        <w:tc>
          <w:tcPr>
            <w:tcW w:w="1293" w:type="dxa"/>
            <w:shd w:val="clear" w:color="auto" w:fill="auto"/>
            <w:vAlign w:val="center"/>
          </w:tcPr>
          <w:p w14:paraId="6567D36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01F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76BDAC9">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6D5FBB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5 </w:t>
            </w:r>
          </w:p>
        </w:tc>
        <w:tc>
          <w:tcPr>
            <w:tcW w:w="1379" w:type="dxa"/>
            <w:shd w:val="clear" w:color="auto" w:fill="auto"/>
            <w:vAlign w:val="center"/>
          </w:tcPr>
          <w:p w14:paraId="1120D7B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  产品规格</w:t>
            </w:r>
          </w:p>
        </w:tc>
        <w:tc>
          <w:tcPr>
            <w:tcW w:w="832" w:type="dxa"/>
            <w:shd w:val="clear" w:color="auto" w:fill="auto"/>
            <w:vAlign w:val="center"/>
          </w:tcPr>
          <w:p w14:paraId="3166F8A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*主板规格</w:t>
            </w:r>
          </w:p>
        </w:tc>
        <w:tc>
          <w:tcPr>
            <w:tcW w:w="1343" w:type="dxa"/>
            <w:shd w:val="clear" w:color="auto" w:fill="auto"/>
            <w:vAlign w:val="center"/>
          </w:tcPr>
          <w:p w14:paraId="0115143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*PCIe 插槽接口</w:t>
            </w:r>
          </w:p>
        </w:tc>
        <w:tc>
          <w:tcPr>
            <w:tcW w:w="3548" w:type="dxa"/>
            <w:shd w:val="clear" w:color="auto" w:fill="auto"/>
            <w:vAlign w:val="center"/>
          </w:tcPr>
          <w:p w14:paraId="6AA7A34F">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符合 PCIe3.0 或以上的高速串行计算机扩展总线标准，PCIe 的接口速率与位宽需保证向下兼容</w:t>
            </w:r>
          </w:p>
        </w:tc>
        <w:tc>
          <w:tcPr>
            <w:tcW w:w="1293" w:type="dxa"/>
            <w:shd w:val="clear" w:color="auto" w:fill="auto"/>
            <w:vAlign w:val="center"/>
          </w:tcPr>
          <w:p w14:paraId="0921D44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20D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2C89DAF">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60F4C8A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6 </w:t>
            </w:r>
          </w:p>
        </w:tc>
        <w:tc>
          <w:tcPr>
            <w:tcW w:w="1379" w:type="dxa"/>
            <w:shd w:val="clear" w:color="auto" w:fill="auto"/>
            <w:vAlign w:val="center"/>
          </w:tcPr>
          <w:p w14:paraId="27DB903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  产品规格</w:t>
            </w:r>
          </w:p>
        </w:tc>
        <w:tc>
          <w:tcPr>
            <w:tcW w:w="832" w:type="dxa"/>
            <w:shd w:val="clear" w:color="auto" w:fill="auto"/>
            <w:vAlign w:val="center"/>
          </w:tcPr>
          <w:p w14:paraId="1CF3207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*主板规格</w:t>
            </w:r>
          </w:p>
        </w:tc>
        <w:tc>
          <w:tcPr>
            <w:tcW w:w="1343" w:type="dxa"/>
            <w:shd w:val="clear" w:color="auto" w:fill="auto"/>
            <w:vAlign w:val="center"/>
          </w:tcPr>
          <w:p w14:paraId="0B656048">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*主板 PCIe插槽数量及规格</w:t>
            </w:r>
          </w:p>
        </w:tc>
        <w:tc>
          <w:tcPr>
            <w:tcW w:w="3548" w:type="dxa"/>
            <w:shd w:val="clear" w:color="auto" w:fill="auto"/>
            <w:vAlign w:val="center"/>
          </w:tcPr>
          <w:p w14:paraId="6581AD1A">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 xml:space="preserve">高度大于44.45mm 双路或以上服务器 PCIe 插槽或接口不少于 5个 </w:t>
            </w:r>
          </w:p>
        </w:tc>
        <w:tc>
          <w:tcPr>
            <w:tcW w:w="1293" w:type="dxa"/>
            <w:shd w:val="clear" w:color="auto" w:fill="auto"/>
            <w:vAlign w:val="center"/>
          </w:tcPr>
          <w:p w14:paraId="41D329E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71F0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BB90491">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4FF33C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7 </w:t>
            </w:r>
          </w:p>
        </w:tc>
        <w:tc>
          <w:tcPr>
            <w:tcW w:w="1379" w:type="dxa"/>
            <w:shd w:val="clear" w:color="auto" w:fill="auto"/>
            <w:vAlign w:val="center"/>
          </w:tcPr>
          <w:p w14:paraId="15409EC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  产品规格</w:t>
            </w:r>
          </w:p>
        </w:tc>
        <w:tc>
          <w:tcPr>
            <w:tcW w:w="832" w:type="dxa"/>
            <w:shd w:val="clear" w:color="auto" w:fill="auto"/>
            <w:vAlign w:val="center"/>
          </w:tcPr>
          <w:p w14:paraId="1857F3B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*主板规格</w:t>
            </w:r>
          </w:p>
        </w:tc>
        <w:tc>
          <w:tcPr>
            <w:tcW w:w="1343" w:type="dxa"/>
            <w:shd w:val="clear" w:color="auto" w:fill="auto"/>
            <w:vAlign w:val="center"/>
          </w:tcPr>
          <w:p w14:paraId="1C0372F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特殊孔位及接口</w:t>
            </w:r>
          </w:p>
        </w:tc>
        <w:tc>
          <w:tcPr>
            <w:tcW w:w="3548" w:type="dxa"/>
            <w:shd w:val="clear" w:color="auto" w:fill="auto"/>
            <w:vAlign w:val="center"/>
          </w:tcPr>
          <w:p w14:paraId="2942674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a)服务器机箱内主板可根据用户实际使用需求支持安装多功能导入装置板卡，机箱内需预留多功能导入装置板卡安装位置，容量不小于55mm×45mm×15mm（长×宽×高，单位毫米）；</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b)服务器主板可根据用户实际使用需求预留满足 USB2.0 或 USB3.0 数据传输规范的接口，工作电压 5V，采用 USB2.0 时，最大过电流应不小于 0.5A，采用 USB3.0 时，最大过电流应不小于 1A</w:t>
            </w:r>
          </w:p>
        </w:tc>
        <w:tc>
          <w:tcPr>
            <w:tcW w:w="1293" w:type="dxa"/>
            <w:shd w:val="clear" w:color="auto" w:fill="auto"/>
            <w:vAlign w:val="center"/>
          </w:tcPr>
          <w:p w14:paraId="069C01C5">
            <w:pPr>
              <w:keepNext w:val="0"/>
              <w:keepLines w:val="0"/>
              <w:widowControl/>
              <w:suppressLineNumbers w:val="0"/>
              <w:jc w:val="center"/>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否</w:t>
            </w:r>
          </w:p>
        </w:tc>
      </w:tr>
      <w:tr w14:paraId="5859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B84BFD5">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2CF48C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8 </w:t>
            </w:r>
          </w:p>
        </w:tc>
        <w:tc>
          <w:tcPr>
            <w:tcW w:w="1379" w:type="dxa"/>
            <w:shd w:val="clear" w:color="auto" w:fill="auto"/>
            <w:vAlign w:val="center"/>
          </w:tcPr>
          <w:p w14:paraId="2C0C0E4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  产品规格</w:t>
            </w:r>
          </w:p>
        </w:tc>
        <w:tc>
          <w:tcPr>
            <w:tcW w:w="832" w:type="dxa"/>
            <w:shd w:val="clear" w:color="auto" w:fill="auto"/>
            <w:vAlign w:val="center"/>
          </w:tcPr>
          <w:p w14:paraId="3AE3B48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*主板规格</w:t>
            </w:r>
          </w:p>
        </w:tc>
        <w:tc>
          <w:tcPr>
            <w:tcW w:w="1343" w:type="dxa"/>
            <w:shd w:val="clear" w:color="auto" w:fill="auto"/>
            <w:vAlign w:val="center"/>
          </w:tcPr>
          <w:p w14:paraId="696DFAC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板载网络接口</w:t>
            </w:r>
          </w:p>
        </w:tc>
        <w:tc>
          <w:tcPr>
            <w:tcW w:w="3548" w:type="dxa"/>
            <w:shd w:val="clear" w:color="auto" w:fill="auto"/>
            <w:vAlign w:val="center"/>
          </w:tcPr>
          <w:p w14:paraId="78DE679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若支持板载网络接口不少于 1 个1GE 网口</w:t>
            </w:r>
          </w:p>
        </w:tc>
        <w:tc>
          <w:tcPr>
            <w:tcW w:w="1293" w:type="dxa"/>
            <w:shd w:val="clear" w:color="auto" w:fill="auto"/>
            <w:vAlign w:val="center"/>
          </w:tcPr>
          <w:p w14:paraId="1B1B756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3823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2D8DE3F">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728661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9 </w:t>
            </w:r>
          </w:p>
        </w:tc>
        <w:tc>
          <w:tcPr>
            <w:tcW w:w="1379" w:type="dxa"/>
            <w:shd w:val="clear" w:color="auto" w:fill="auto"/>
            <w:vAlign w:val="center"/>
          </w:tcPr>
          <w:p w14:paraId="28756C7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  产品规格</w:t>
            </w:r>
          </w:p>
        </w:tc>
        <w:tc>
          <w:tcPr>
            <w:tcW w:w="832" w:type="dxa"/>
            <w:shd w:val="clear" w:color="auto" w:fill="auto"/>
            <w:vAlign w:val="center"/>
          </w:tcPr>
          <w:p w14:paraId="6E20E3F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*主板规格</w:t>
            </w:r>
          </w:p>
        </w:tc>
        <w:tc>
          <w:tcPr>
            <w:tcW w:w="1343" w:type="dxa"/>
            <w:shd w:val="clear" w:color="auto" w:fill="auto"/>
            <w:vAlign w:val="center"/>
          </w:tcPr>
          <w:p w14:paraId="6C90E23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 OCP 插槽数量</w:t>
            </w:r>
          </w:p>
        </w:tc>
        <w:tc>
          <w:tcPr>
            <w:tcW w:w="3548" w:type="dxa"/>
            <w:shd w:val="clear" w:color="auto" w:fill="auto"/>
            <w:vAlign w:val="center"/>
          </w:tcPr>
          <w:p w14:paraId="3358778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支持 OCP2.0 及以上插槽的数量不少于 1 个</w:t>
            </w:r>
          </w:p>
        </w:tc>
        <w:tc>
          <w:tcPr>
            <w:tcW w:w="1293" w:type="dxa"/>
            <w:shd w:val="clear" w:color="auto" w:fill="auto"/>
            <w:vAlign w:val="center"/>
          </w:tcPr>
          <w:p w14:paraId="442A8F3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28C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74" w:type="dxa"/>
            <w:shd w:val="clear" w:color="auto" w:fill="auto"/>
            <w:vAlign w:val="center"/>
          </w:tcPr>
          <w:p w14:paraId="24B9A49C">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DBFAE4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10 </w:t>
            </w:r>
          </w:p>
        </w:tc>
        <w:tc>
          <w:tcPr>
            <w:tcW w:w="1379" w:type="dxa"/>
            <w:shd w:val="clear" w:color="auto" w:fill="auto"/>
            <w:vAlign w:val="center"/>
          </w:tcPr>
          <w:p w14:paraId="3428A57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19B71AE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*内存规格</w:t>
            </w:r>
          </w:p>
        </w:tc>
        <w:tc>
          <w:tcPr>
            <w:tcW w:w="1343" w:type="dxa"/>
            <w:shd w:val="clear" w:color="auto" w:fill="auto"/>
            <w:vAlign w:val="center"/>
          </w:tcPr>
          <w:p w14:paraId="2C839D0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*内存数量</w:t>
            </w:r>
          </w:p>
        </w:tc>
        <w:tc>
          <w:tcPr>
            <w:tcW w:w="3548" w:type="dxa"/>
            <w:shd w:val="clear" w:color="auto" w:fill="auto"/>
            <w:vAlign w:val="center"/>
          </w:tcPr>
          <w:p w14:paraId="1573D73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≥16</w:t>
            </w:r>
          </w:p>
        </w:tc>
        <w:tc>
          <w:tcPr>
            <w:tcW w:w="1293" w:type="dxa"/>
            <w:shd w:val="clear" w:color="auto" w:fill="auto"/>
            <w:vAlign w:val="center"/>
          </w:tcPr>
          <w:p w14:paraId="7D683E3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8522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2013196">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5DA3DBC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11 </w:t>
            </w:r>
          </w:p>
        </w:tc>
        <w:tc>
          <w:tcPr>
            <w:tcW w:w="1379" w:type="dxa"/>
            <w:shd w:val="clear" w:color="auto" w:fill="auto"/>
            <w:vAlign w:val="center"/>
          </w:tcPr>
          <w:p w14:paraId="6517ED8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1E51535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*内存规格</w:t>
            </w:r>
          </w:p>
        </w:tc>
        <w:tc>
          <w:tcPr>
            <w:tcW w:w="1343" w:type="dxa"/>
            <w:shd w:val="clear" w:color="auto" w:fill="auto"/>
            <w:vAlign w:val="center"/>
          </w:tcPr>
          <w:p w14:paraId="7E7CC98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*内存规格</w:t>
            </w:r>
          </w:p>
        </w:tc>
        <w:tc>
          <w:tcPr>
            <w:tcW w:w="3548" w:type="dxa"/>
            <w:shd w:val="clear" w:color="auto" w:fill="auto"/>
            <w:vAlign w:val="center"/>
          </w:tcPr>
          <w:p w14:paraId="105143C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≥DDR4</w:t>
            </w:r>
          </w:p>
        </w:tc>
        <w:tc>
          <w:tcPr>
            <w:tcW w:w="1293" w:type="dxa"/>
            <w:shd w:val="clear" w:color="auto" w:fill="auto"/>
            <w:vAlign w:val="center"/>
          </w:tcPr>
          <w:p w14:paraId="26C4746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7E6F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7231DD5">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989443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12 </w:t>
            </w:r>
          </w:p>
        </w:tc>
        <w:tc>
          <w:tcPr>
            <w:tcW w:w="1379" w:type="dxa"/>
            <w:shd w:val="clear" w:color="auto" w:fill="auto"/>
            <w:vAlign w:val="center"/>
          </w:tcPr>
          <w:p w14:paraId="724088C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4D516C3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*内存规格</w:t>
            </w:r>
          </w:p>
        </w:tc>
        <w:tc>
          <w:tcPr>
            <w:tcW w:w="1343" w:type="dxa"/>
            <w:shd w:val="clear" w:color="auto" w:fill="auto"/>
            <w:vAlign w:val="center"/>
          </w:tcPr>
          <w:p w14:paraId="39C7617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*内存通道</w:t>
            </w:r>
          </w:p>
        </w:tc>
        <w:tc>
          <w:tcPr>
            <w:tcW w:w="3548" w:type="dxa"/>
            <w:shd w:val="clear" w:color="auto" w:fill="auto"/>
            <w:vAlign w:val="center"/>
          </w:tcPr>
          <w:p w14:paraId="18FCD896">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支持多个内存接口通道，每个通道可支持 1DPC 或 2DPC，当支持 2DPC时，印制电路板上应具备插槽的序号标识，具体通道数应在随机文件中明确</w:t>
            </w:r>
          </w:p>
        </w:tc>
        <w:tc>
          <w:tcPr>
            <w:tcW w:w="1293" w:type="dxa"/>
            <w:shd w:val="clear" w:color="auto" w:fill="auto"/>
            <w:vAlign w:val="center"/>
          </w:tcPr>
          <w:p w14:paraId="2904B74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08FB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D81BF81">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2C8C85F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13 </w:t>
            </w:r>
          </w:p>
        </w:tc>
        <w:tc>
          <w:tcPr>
            <w:tcW w:w="1379" w:type="dxa"/>
            <w:shd w:val="clear" w:color="auto" w:fill="auto"/>
            <w:vAlign w:val="center"/>
          </w:tcPr>
          <w:p w14:paraId="7D188A8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679B819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*存储规格</w:t>
            </w:r>
          </w:p>
        </w:tc>
        <w:tc>
          <w:tcPr>
            <w:tcW w:w="1343" w:type="dxa"/>
            <w:shd w:val="clear" w:color="auto" w:fill="auto"/>
            <w:vAlign w:val="center"/>
          </w:tcPr>
          <w:p w14:paraId="168CED0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硬盘类型</w:t>
            </w:r>
          </w:p>
        </w:tc>
        <w:tc>
          <w:tcPr>
            <w:tcW w:w="3548" w:type="dxa"/>
            <w:shd w:val="clear" w:color="auto" w:fill="auto"/>
            <w:vAlign w:val="center"/>
          </w:tcPr>
          <w:p w14:paraId="32B7940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供应商给出服务器支持固态盘类型及规格</w:t>
            </w:r>
          </w:p>
        </w:tc>
        <w:tc>
          <w:tcPr>
            <w:tcW w:w="1293" w:type="dxa"/>
            <w:shd w:val="clear" w:color="auto" w:fill="auto"/>
            <w:vAlign w:val="center"/>
          </w:tcPr>
          <w:p w14:paraId="68A784B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3A4E0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94E6C37">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B391D2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14 </w:t>
            </w:r>
          </w:p>
        </w:tc>
        <w:tc>
          <w:tcPr>
            <w:tcW w:w="1379" w:type="dxa"/>
            <w:shd w:val="clear" w:color="auto" w:fill="auto"/>
            <w:vAlign w:val="center"/>
          </w:tcPr>
          <w:p w14:paraId="6FC10AA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195FFF0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*存储规格</w:t>
            </w:r>
          </w:p>
        </w:tc>
        <w:tc>
          <w:tcPr>
            <w:tcW w:w="1343" w:type="dxa"/>
            <w:shd w:val="clear" w:color="auto" w:fill="auto"/>
            <w:vAlign w:val="center"/>
          </w:tcPr>
          <w:p w14:paraId="3A2E6A4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*硬磁盘实配容量</w:t>
            </w:r>
          </w:p>
        </w:tc>
        <w:tc>
          <w:tcPr>
            <w:tcW w:w="3548" w:type="dxa"/>
            <w:shd w:val="clear" w:color="auto" w:fill="auto"/>
            <w:vAlign w:val="center"/>
          </w:tcPr>
          <w:p w14:paraId="3E135B9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实配固态盘单盘可用容量不小于 480GB</w:t>
            </w:r>
          </w:p>
        </w:tc>
        <w:tc>
          <w:tcPr>
            <w:tcW w:w="1293" w:type="dxa"/>
            <w:shd w:val="clear" w:color="auto" w:fill="auto"/>
            <w:vAlign w:val="center"/>
          </w:tcPr>
          <w:p w14:paraId="6E9DBF7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400C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44E8085">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65CF17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15 </w:t>
            </w:r>
          </w:p>
        </w:tc>
        <w:tc>
          <w:tcPr>
            <w:tcW w:w="1379" w:type="dxa"/>
            <w:shd w:val="clear" w:color="auto" w:fill="auto"/>
            <w:vAlign w:val="center"/>
          </w:tcPr>
          <w:p w14:paraId="1498FAA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32DBB2E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*存储规格</w:t>
            </w:r>
          </w:p>
        </w:tc>
        <w:tc>
          <w:tcPr>
            <w:tcW w:w="1343" w:type="dxa"/>
            <w:shd w:val="clear" w:color="auto" w:fill="auto"/>
            <w:vAlign w:val="center"/>
          </w:tcPr>
          <w:p w14:paraId="38DE9EF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硬盘接口类型</w:t>
            </w:r>
          </w:p>
        </w:tc>
        <w:tc>
          <w:tcPr>
            <w:tcW w:w="3548" w:type="dxa"/>
            <w:shd w:val="clear" w:color="auto" w:fill="auto"/>
            <w:vAlign w:val="center"/>
          </w:tcPr>
          <w:p w14:paraId="660D259E">
            <w:pPr>
              <w:keepNext w:val="0"/>
              <w:keepLines w:val="0"/>
              <w:widowControl/>
              <w:suppressLineNumbers w:val="0"/>
              <w:jc w:val="left"/>
              <w:textAlignment w:val="center"/>
              <w:rPr>
                <w:rFonts w:ascii="宋体" w:hAnsi="宋体" w:eastAsia="宋体" w:cs="仿宋"/>
                <w:sz w:val="20"/>
                <w:szCs w:val="20"/>
                <w:lang w:val="en-US"/>
              </w:rPr>
            </w:pPr>
            <w:r>
              <w:rPr>
                <w:rFonts w:hint="eastAsia" w:ascii="黑体" w:hAnsi="宋体" w:eastAsia="黑体" w:cs="黑体"/>
                <w:i w:val="0"/>
                <w:iCs w:val="0"/>
                <w:color w:val="000000"/>
                <w:kern w:val="0"/>
                <w:sz w:val="16"/>
                <w:szCs w:val="16"/>
                <w:u w:val="none"/>
                <w:lang w:val="en-US" w:eastAsia="zh-CN" w:bidi="ar"/>
              </w:rPr>
              <w:t>配备固态盘，提供至少 1 种类型固态盘接口，如 UFS、SATA、PCIe等</w:t>
            </w:r>
          </w:p>
        </w:tc>
        <w:tc>
          <w:tcPr>
            <w:tcW w:w="1293" w:type="dxa"/>
            <w:shd w:val="clear" w:color="auto" w:fill="auto"/>
            <w:vAlign w:val="center"/>
          </w:tcPr>
          <w:p w14:paraId="3345754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4D6A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6865DCF">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BC7BCE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16 </w:t>
            </w:r>
          </w:p>
        </w:tc>
        <w:tc>
          <w:tcPr>
            <w:tcW w:w="1379" w:type="dxa"/>
            <w:shd w:val="clear" w:color="auto" w:fill="auto"/>
            <w:vAlign w:val="center"/>
          </w:tcPr>
          <w:p w14:paraId="2AC122F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0C29BFA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*存储规格</w:t>
            </w:r>
          </w:p>
        </w:tc>
        <w:tc>
          <w:tcPr>
            <w:tcW w:w="1343" w:type="dxa"/>
            <w:shd w:val="clear" w:color="auto" w:fill="auto"/>
            <w:vAlign w:val="center"/>
          </w:tcPr>
          <w:p w14:paraId="01D7003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*硬盘实配数量</w:t>
            </w:r>
          </w:p>
        </w:tc>
        <w:tc>
          <w:tcPr>
            <w:tcW w:w="3548" w:type="dxa"/>
            <w:shd w:val="clear" w:color="auto" w:fill="auto"/>
            <w:vAlign w:val="center"/>
          </w:tcPr>
          <w:p w14:paraId="40B8792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固态盘，实配盘数不小于 2 块</w:t>
            </w:r>
          </w:p>
        </w:tc>
        <w:tc>
          <w:tcPr>
            <w:tcW w:w="1293" w:type="dxa"/>
            <w:shd w:val="clear" w:color="auto" w:fill="auto"/>
            <w:vAlign w:val="center"/>
          </w:tcPr>
          <w:p w14:paraId="1AB3951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1A79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CFD25A3">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0B9511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17 </w:t>
            </w:r>
          </w:p>
        </w:tc>
        <w:tc>
          <w:tcPr>
            <w:tcW w:w="1379" w:type="dxa"/>
            <w:shd w:val="clear" w:color="auto" w:fill="auto"/>
            <w:vAlign w:val="center"/>
          </w:tcPr>
          <w:p w14:paraId="6E9A5C6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2EC55D5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*存储规格</w:t>
            </w:r>
          </w:p>
        </w:tc>
        <w:tc>
          <w:tcPr>
            <w:tcW w:w="1343" w:type="dxa"/>
            <w:shd w:val="clear" w:color="auto" w:fill="auto"/>
            <w:vAlign w:val="center"/>
          </w:tcPr>
          <w:p w14:paraId="391D021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*硬盘插槽数量及规格</w:t>
            </w:r>
          </w:p>
        </w:tc>
        <w:tc>
          <w:tcPr>
            <w:tcW w:w="3548" w:type="dxa"/>
            <w:shd w:val="clear" w:color="auto" w:fill="auto"/>
            <w:vAlign w:val="center"/>
          </w:tcPr>
          <w:p w14:paraId="466A0BB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a) 供应商给出配置的硬盘尺寸，如 2.5 英寸、3.5 英寸硬磁盘；</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b) 机箱高度为 88.9mm 的服务器可支持的硬盘数量不少于 8 块，机箱高度为 44.45mm 的服务器可支持的硬盘数量不少于 8 块。</w:t>
            </w:r>
          </w:p>
        </w:tc>
        <w:tc>
          <w:tcPr>
            <w:tcW w:w="1293" w:type="dxa"/>
            <w:shd w:val="clear" w:color="auto" w:fill="auto"/>
            <w:vAlign w:val="center"/>
          </w:tcPr>
          <w:p w14:paraId="05244F2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2FBB4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3249C94">
            <w:pPr>
              <w:keepNext w:val="0"/>
              <w:keepLines w:val="0"/>
              <w:widowControl/>
              <w:suppressLineNumbers w:val="0"/>
              <w:jc w:val="center"/>
              <w:textAlignment w:val="center"/>
              <w:rPr>
                <w:rFonts w:ascii="宋体" w:hAnsi="宋体" w:eastAsia="宋体" w:cs="仿宋"/>
                <w:sz w:val="20"/>
                <w:szCs w:val="20"/>
              </w:rPr>
            </w:pPr>
            <w:r>
              <w:rPr>
                <w:rFonts w:hint="default" w:ascii="Arial" w:hAnsi="Arial" w:eastAsia="宋体" w:cs="Arial"/>
                <w:i w:val="0"/>
                <w:iCs w:val="0"/>
                <w:color w:val="000000"/>
                <w:kern w:val="0"/>
                <w:sz w:val="22"/>
                <w:szCs w:val="22"/>
                <w:u w:val="none"/>
                <w:lang w:val="en-US" w:eastAsia="zh-CN" w:bidi="ar"/>
              </w:rPr>
              <w:t>★</w:t>
            </w:r>
          </w:p>
        </w:tc>
        <w:tc>
          <w:tcPr>
            <w:tcW w:w="628" w:type="dxa"/>
            <w:shd w:val="clear" w:color="auto" w:fill="auto"/>
            <w:vAlign w:val="center"/>
          </w:tcPr>
          <w:p w14:paraId="7BCF621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18 </w:t>
            </w:r>
          </w:p>
        </w:tc>
        <w:tc>
          <w:tcPr>
            <w:tcW w:w="1379" w:type="dxa"/>
            <w:shd w:val="clear" w:color="auto" w:fill="auto"/>
            <w:vAlign w:val="center"/>
          </w:tcPr>
          <w:p w14:paraId="281BA79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0636A63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*存储规格</w:t>
            </w:r>
          </w:p>
        </w:tc>
        <w:tc>
          <w:tcPr>
            <w:tcW w:w="1343" w:type="dxa"/>
            <w:shd w:val="clear" w:color="auto" w:fill="auto"/>
            <w:vAlign w:val="center"/>
          </w:tcPr>
          <w:p w14:paraId="600810A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硬盘其他参数要求</w:t>
            </w:r>
          </w:p>
        </w:tc>
        <w:tc>
          <w:tcPr>
            <w:tcW w:w="3548" w:type="dxa"/>
            <w:shd w:val="clear" w:color="auto" w:fill="auto"/>
            <w:vAlign w:val="center"/>
          </w:tcPr>
          <w:p w14:paraId="367659F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11430</wp:posOffset>
                  </wp:positionH>
                  <wp:positionV relativeFrom="paragraph">
                    <wp:posOffset>471805</wp:posOffset>
                  </wp:positionV>
                  <wp:extent cx="76835" cy="47625"/>
                  <wp:effectExtent l="0" t="0" r="0" b="0"/>
                  <wp:wrapNone/>
                  <wp:docPr id="20" name="textbox1"/>
                  <wp:cNvGraphicFramePr/>
                  <a:graphic xmlns:a="http://schemas.openxmlformats.org/drawingml/2006/main">
                    <a:graphicData uri="http://schemas.openxmlformats.org/drawingml/2006/picture">
                      <pic:pic xmlns:pic="http://schemas.openxmlformats.org/drawingml/2006/picture">
                        <pic:nvPicPr>
                          <pic:cNvPr id="20" name="textbox1"/>
                          <pic:cNvPicPr/>
                        </pic:nvPicPr>
                        <pic:blipFill>
                          <a:blip r:embed="rId16"/>
                          <a:stretch>
                            <a:fillRect/>
                          </a:stretch>
                        </pic:blipFill>
                        <pic:spPr>
                          <a:xfrm>
                            <a:off x="0" y="0"/>
                            <a:ext cx="76835" cy="47625"/>
                          </a:xfrm>
                          <a:prstGeom prst="rect">
                            <a:avLst/>
                          </a:prstGeom>
                          <a:noFill/>
                          <a:ln>
                            <a:noFill/>
                          </a:ln>
                        </pic:spPr>
                      </pic:pic>
                    </a:graphicData>
                  </a:graphic>
                </wp:anchor>
              </w:drawing>
            </w:r>
            <w:r>
              <w:rPr>
                <w:rFonts w:hint="eastAsia" w:ascii="黑体" w:hAnsi="宋体" w:eastAsia="黑体" w:cs="黑体"/>
                <w:i w:val="0"/>
                <w:iCs w:val="0"/>
                <w:color w:val="000000"/>
                <w:kern w:val="0"/>
                <w:sz w:val="16"/>
                <w:szCs w:val="16"/>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11430</wp:posOffset>
                  </wp:positionH>
                  <wp:positionV relativeFrom="paragraph">
                    <wp:posOffset>471805</wp:posOffset>
                  </wp:positionV>
                  <wp:extent cx="76835" cy="47625"/>
                  <wp:effectExtent l="0" t="0" r="0" b="0"/>
                  <wp:wrapNone/>
                  <wp:docPr id="21" name="textbox1_SpCnt_1"/>
                  <wp:cNvGraphicFramePr/>
                  <a:graphic xmlns:a="http://schemas.openxmlformats.org/drawingml/2006/main">
                    <a:graphicData uri="http://schemas.openxmlformats.org/drawingml/2006/picture">
                      <pic:pic xmlns:pic="http://schemas.openxmlformats.org/drawingml/2006/picture">
                        <pic:nvPicPr>
                          <pic:cNvPr id="21" name="textbox1_SpCnt_1"/>
                          <pic:cNvPicPr/>
                        </pic:nvPicPr>
                        <pic:blipFill>
                          <a:blip r:embed="rId16"/>
                          <a:stretch>
                            <a:fillRect/>
                          </a:stretch>
                        </pic:blipFill>
                        <pic:spPr>
                          <a:xfrm>
                            <a:off x="0" y="0"/>
                            <a:ext cx="76835" cy="47625"/>
                          </a:xfrm>
                          <a:prstGeom prst="rect">
                            <a:avLst/>
                          </a:prstGeom>
                          <a:noFill/>
                          <a:ln>
                            <a:noFill/>
                          </a:ln>
                        </pic:spPr>
                      </pic:pic>
                    </a:graphicData>
                  </a:graphic>
                </wp:anchor>
              </w:drawing>
            </w:r>
            <w:r>
              <w:rPr>
                <w:rFonts w:hint="eastAsia" w:ascii="黑体" w:hAnsi="宋体" w:eastAsia="黑体" w:cs="黑体"/>
                <w:i w:val="0"/>
                <w:iCs w:val="0"/>
                <w:color w:val="000000"/>
                <w:kern w:val="0"/>
                <w:sz w:val="16"/>
                <w:szCs w:val="16"/>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11430</wp:posOffset>
                  </wp:positionH>
                  <wp:positionV relativeFrom="paragraph">
                    <wp:posOffset>471805</wp:posOffset>
                  </wp:positionV>
                  <wp:extent cx="76835" cy="93345"/>
                  <wp:effectExtent l="0" t="0" r="0" b="0"/>
                  <wp:wrapNone/>
                  <wp:docPr id="22" name="textbox1_SpCnt_2"/>
                  <wp:cNvGraphicFramePr/>
                  <a:graphic xmlns:a="http://schemas.openxmlformats.org/drawingml/2006/main">
                    <a:graphicData uri="http://schemas.openxmlformats.org/drawingml/2006/picture">
                      <pic:pic xmlns:pic="http://schemas.openxmlformats.org/drawingml/2006/picture">
                        <pic:nvPicPr>
                          <pic:cNvPr id="22" name="textbox1_SpCnt_2"/>
                          <pic:cNvPicPr/>
                        </pic:nvPicPr>
                        <pic:blipFill>
                          <a:blip r:embed="rId17"/>
                          <a:stretch>
                            <a:fillRect/>
                          </a:stretch>
                        </pic:blipFill>
                        <pic:spPr>
                          <a:xfrm>
                            <a:off x="0" y="0"/>
                            <a:ext cx="76835" cy="93345"/>
                          </a:xfrm>
                          <a:prstGeom prst="rect">
                            <a:avLst/>
                          </a:prstGeom>
                          <a:noFill/>
                          <a:ln>
                            <a:noFill/>
                          </a:ln>
                        </pic:spPr>
                      </pic:pic>
                    </a:graphicData>
                  </a:graphic>
                </wp:anchor>
              </w:drawing>
            </w:r>
            <w:r>
              <w:rPr>
                <w:rFonts w:hint="eastAsia" w:ascii="黑体" w:hAnsi="宋体" w:eastAsia="黑体" w:cs="黑体"/>
                <w:i w:val="0"/>
                <w:iCs w:val="0"/>
                <w:color w:val="000000"/>
                <w:kern w:val="0"/>
                <w:sz w:val="16"/>
                <w:szCs w:val="16"/>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11430</wp:posOffset>
                  </wp:positionH>
                  <wp:positionV relativeFrom="paragraph">
                    <wp:posOffset>471805</wp:posOffset>
                  </wp:positionV>
                  <wp:extent cx="76835" cy="47625"/>
                  <wp:effectExtent l="0" t="0" r="0" b="0"/>
                  <wp:wrapNone/>
                  <wp:docPr id="23" name="textbox1_SpCnt_3"/>
                  <wp:cNvGraphicFramePr/>
                  <a:graphic xmlns:a="http://schemas.openxmlformats.org/drawingml/2006/main">
                    <a:graphicData uri="http://schemas.openxmlformats.org/drawingml/2006/picture">
                      <pic:pic xmlns:pic="http://schemas.openxmlformats.org/drawingml/2006/picture">
                        <pic:nvPicPr>
                          <pic:cNvPr id="23" name="textbox1_SpCnt_3"/>
                          <pic:cNvPicPr/>
                        </pic:nvPicPr>
                        <pic:blipFill>
                          <a:blip r:embed="rId16"/>
                          <a:stretch>
                            <a:fillRect/>
                          </a:stretch>
                        </pic:blipFill>
                        <pic:spPr>
                          <a:xfrm>
                            <a:off x="0" y="0"/>
                            <a:ext cx="76835" cy="47625"/>
                          </a:xfrm>
                          <a:prstGeom prst="rect">
                            <a:avLst/>
                          </a:prstGeom>
                          <a:noFill/>
                          <a:ln>
                            <a:noFill/>
                          </a:ln>
                        </pic:spPr>
                      </pic:pic>
                    </a:graphicData>
                  </a:graphic>
                </wp:anchor>
              </w:drawing>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固态盘符合 SJ/T 11654 相关规定</w:t>
            </w:r>
          </w:p>
        </w:tc>
        <w:tc>
          <w:tcPr>
            <w:tcW w:w="1293" w:type="dxa"/>
            <w:shd w:val="clear" w:color="auto" w:fill="auto"/>
            <w:vAlign w:val="center"/>
          </w:tcPr>
          <w:p w14:paraId="441370A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7EC4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CA8AD25">
            <w:pPr>
              <w:jc w:val="center"/>
              <w:rPr>
                <w:rFonts w:ascii="宋体" w:hAnsi="宋体" w:eastAsia="宋体" w:cs="仿宋"/>
                <w:sz w:val="20"/>
                <w:szCs w:val="20"/>
              </w:rPr>
            </w:pPr>
          </w:p>
        </w:tc>
        <w:tc>
          <w:tcPr>
            <w:tcW w:w="628" w:type="dxa"/>
            <w:shd w:val="clear" w:color="auto" w:fill="auto"/>
            <w:vAlign w:val="center"/>
          </w:tcPr>
          <w:p w14:paraId="4D84907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19 </w:t>
            </w:r>
          </w:p>
        </w:tc>
        <w:tc>
          <w:tcPr>
            <w:tcW w:w="1379" w:type="dxa"/>
            <w:shd w:val="clear" w:color="auto" w:fill="auto"/>
            <w:vAlign w:val="center"/>
          </w:tcPr>
          <w:p w14:paraId="03D4F67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6644404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RAID卡规格（若支持RAID卡）</w:t>
            </w:r>
          </w:p>
        </w:tc>
        <w:tc>
          <w:tcPr>
            <w:tcW w:w="1343" w:type="dxa"/>
            <w:shd w:val="clear" w:color="auto" w:fill="auto"/>
            <w:vAlign w:val="center"/>
          </w:tcPr>
          <w:p w14:paraId="0863440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RAID 卡支持的 SAS接口数</w:t>
            </w:r>
          </w:p>
        </w:tc>
        <w:tc>
          <w:tcPr>
            <w:tcW w:w="3548" w:type="dxa"/>
            <w:shd w:val="clear" w:color="auto" w:fill="auto"/>
            <w:vAlign w:val="center"/>
          </w:tcPr>
          <w:p w14:paraId="2D5A2C65">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18D5CFF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52420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33FB92C">
            <w:pPr>
              <w:jc w:val="center"/>
              <w:rPr>
                <w:rFonts w:ascii="宋体" w:hAnsi="宋体" w:eastAsia="宋体" w:cs="仿宋"/>
                <w:sz w:val="20"/>
                <w:szCs w:val="20"/>
              </w:rPr>
            </w:pPr>
          </w:p>
        </w:tc>
        <w:tc>
          <w:tcPr>
            <w:tcW w:w="628" w:type="dxa"/>
            <w:shd w:val="clear" w:color="auto" w:fill="auto"/>
            <w:vAlign w:val="center"/>
          </w:tcPr>
          <w:p w14:paraId="2B2B3A2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20 </w:t>
            </w:r>
          </w:p>
        </w:tc>
        <w:tc>
          <w:tcPr>
            <w:tcW w:w="1379" w:type="dxa"/>
            <w:shd w:val="clear" w:color="auto" w:fill="auto"/>
            <w:vAlign w:val="center"/>
          </w:tcPr>
          <w:p w14:paraId="11D3B04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56E9501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SAS 直通卡规格(若支持 SAS直通卡)</w:t>
            </w:r>
          </w:p>
        </w:tc>
        <w:tc>
          <w:tcPr>
            <w:tcW w:w="1343" w:type="dxa"/>
            <w:shd w:val="clear" w:color="auto" w:fill="auto"/>
            <w:vAlign w:val="center"/>
          </w:tcPr>
          <w:p w14:paraId="56155CD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SAS 直通卡 SAS 接口数量</w:t>
            </w:r>
          </w:p>
        </w:tc>
        <w:tc>
          <w:tcPr>
            <w:tcW w:w="3548" w:type="dxa"/>
            <w:shd w:val="clear" w:color="auto" w:fill="auto"/>
            <w:vAlign w:val="center"/>
          </w:tcPr>
          <w:p w14:paraId="06457F2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05B598E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A6E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B8BD093">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6FD69A8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21 </w:t>
            </w:r>
          </w:p>
        </w:tc>
        <w:tc>
          <w:tcPr>
            <w:tcW w:w="1379" w:type="dxa"/>
            <w:shd w:val="clear" w:color="auto" w:fill="auto"/>
            <w:vAlign w:val="center"/>
          </w:tcPr>
          <w:p w14:paraId="4B50B16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6E634BC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HBA 卡规格(若支持 HBA直通卡)</w:t>
            </w:r>
          </w:p>
        </w:tc>
        <w:tc>
          <w:tcPr>
            <w:tcW w:w="1343" w:type="dxa"/>
            <w:shd w:val="clear" w:color="auto" w:fill="auto"/>
            <w:vAlign w:val="center"/>
          </w:tcPr>
          <w:p w14:paraId="343F9F3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HBA 卡端口数量</w:t>
            </w:r>
          </w:p>
        </w:tc>
        <w:tc>
          <w:tcPr>
            <w:tcW w:w="3548" w:type="dxa"/>
            <w:shd w:val="clear" w:color="auto" w:fill="auto"/>
            <w:vAlign w:val="center"/>
          </w:tcPr>
          <w:p w14:paraId="326748CD">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HBA卡端口数量≥2</w:t>
            </w:r>
          </w:p>
        </w:tc>
        <w:tc>
          <w:tcPr>
            <w:tcW w:w="1293" w:type="dxa"/>
            <w:shd w:val="clear" w:color="auto" w:fill="auto"/>
            <w:vAlign w:val="center"/>
          </w:tcPr>
          <w:p w14:paraId="15A328F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46DC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8B0E7D4">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6BD7F2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22 </w:t>
            </w:r>
          </w:p>
        </w:tc>
        <w:tc>
          <w:tcPr>
            <w:tcW w:w="1379" w:type="dxa"/>
            <w:shd w:val="clear" w:color="auto" w:fill="auto"/>
            <w:vAlign w:val="center"/>
          </w:tcPr>
          <w:p w14:paraId="1591560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07C5244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*网络规格</w:t>
            </w:r>
          </w:p>
        </w:tc>
        <w:tc>
          <w:tcPr>
            <w:tcW w:w="1343" w:type="dxa"/>
            <w:shd w:val="clear" w:color="auto" w:fill="auto"/>
            <w:vAlign w:val="center"/>
          </w:tcPr>
          <w:p w14:paraId="4858CA0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*网口速率和数量</w:t>
            </w:r>
          </w:p>
        </w:tc>
        <w:tc>
          <w:tcPr>
            <w:tcW w:w="3548" w:type="dxa"/>
            <w:shd w:val="clear" w:color="auto" w:fill="auto"/>
            <w:vAlign w:val="center"/>
          </w:tcPr>
          <w:p w14:paraId="346BAF2F">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配备电口数量不少于 4 个，且网口速率不少于 1GE,配备光口数量不少于4个，且网口速率不少于25GE</w:t>
            </w:r>
          </w:p>
        </w:tc>
        <w:tc>
          <w:tcPr>
            <w:tcW w:w="1293" w:type="dxa"/>
            <w:shd w:val="clear" w:color="auto" w:fill="auto"/>
            <w:vAlign w:val="center"/>
          </w:tcPr>
          <w:p w14:paraId="1CD4122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AB9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11BB0E9">
            <w:pPr>
              <w:jc w:val="center"/>
              <w:rPr>
                <w:rFonts w:ascii="宋体" w:hAnsi="宋体" w:eastAsia="宋体" w:cs="仿宋"/>
                <w:sz w:val="20"/>
                <w:szCs w:val="20"/>
              </w:rPr>
            </w:pPr>
          </w:p>
        </w:tc>
        <w:tc>
          <w:tcPr>
            <w:tcW w:w="628" w:type="dxa"/>
            <w:shd w:val="clear" w:color="auto" w:fill="auto"/>
            <w:vAlign w:val="center"/>
          </w:tcPr>
          <w:p w14:paraId="2ED8986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23 </w:t>
            </w:r>
          </w:p>
        </w:tc>
        <w:tc>
          <w:tcPr>
            <w:tcW w:w="1379" w:type="dxa"/>
            <w:shd w:val="clear" w:color="auto" w:fill="auto"/>
            <w:vAlign w:val="center"/>
          </w:tcPr>
          <w:p w14:paraId="3375553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61BD73F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*网络规格</w:t>
            </w:r>
          </w:p>
        </w:tc>
        <w:tc>
          <w:tcPr>
            <w:tcW w:w="1343" w:type="dxa"/>
            <w:shd w:val="clear" w:color="auto" w:fill="auto"/>
            <w:vAlign w:val="center"/>
          </w:tcPr>
          <w:p w14:paraId="13AE523A">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存储型服务器网口速率和数量</w:t>
            </w:r>
          </w:p>
        </w:tc>
        <w:tc>
          <w:tcPr>
            <w:tcW w:w="3548" w:type="dxa"/>
            <w:shd w:val="clear" w:color="auto" w:fill="auto"/>
            <w:vAlign w:val="center"/>
          </w:tcPr>
          <w:p w14:paraId="7208AF7D">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3B11945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1EF8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585A6D6">
            <w:pPr>
              <w:jc w:val="center"/>
              <w:rPr>
                <w:rFonts w:ascii="宋体" w:hAnsi="宋体" w:eastAsia="宋体" w:cs="仿宋"/>
                <w:sz w:val="20"/>
                <w:szCs w:val="20"/>
              </w:rPr>
            </w:pPr>
          </w:p>
        </w:tc>
        <w:tc>
          <w:tcPr>
            <w:tcW w:w="628" w:type="dxa"/>
            <w:shd w:val="clear" w:color="auto" w:fill="auto"/>
            <w:vAlign w:val="center"/>
          </w:tcPr>
          <w:p w14:paraId="13DC52B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24 </w:t>
            </w:r>
          </w:p>
        </w:tc>
        <w:tc>
          <w:tcPr>
            <w:tcW w:w="1379" w:type="dxa"/>
            <w:shd w:val="clear" w:color="auto" w:fill="auto"/>
            <w:vAlign w:val="center"/>
          </w:tcPr>
          <w:p w14:paraId="338F40A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52F21E5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*网络规格</w:t>
            </w:r>
          </w:p>
        </w:tc>
        <w:tc>
          <w:tcPr>
            <w:tcW w:w="1343" w:type="dxa"/>
            <w:shd w:val="clear" w:color="auto" w:fill="auto"/>
            <w:vAlign w:val="center"/>
          </w:tcPr>
          <w:p w14:paraId="7C24AE7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独立网卡网口数量</w:t>
            </w:r>
          </w:p>
        </w:tc>
        <w:tc>
          <w:tcPr>
            <w:tcW w:w="3548" w:type="dxa"/>
            <w:shd w:val="clear" w:color="auto" w:fill="auto"/>
            <w:vAlign w:val="center"/>
          </w:tcPr>
          <w:p w14:paraId="6784AB5A">
            <w:pPr>
              <w:keepNext w:val="0"/>
              <w:keepLines w:val="0"/>
              <w:widowControl/>
              <w:suppressLineNumbers w:val="0"/>
              <w:jc w:val="left"/>
              <w:textAlignment w:val="center"/>
              <w:rPr>
                <w:rFonts w:ascii="宋体" w:hAnsi="宋体" w:eastAsia="宋体" w:cs="仿宋"/>
                <w:sz w:val="20"/>
                <w:szCs w:val="20"/>
                <w:highlight w:val="yellow"/>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6BB36C2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5F98C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306E1D1">
            <w:pPr>
              <w:jc w:val="center"/>
              <w:rPr>
                <w:rFonts w:ascii="宋体" w:hAnsi="宋体" w:eastAsia="宋体" w:cs="仿宋"/>
                <w:sz w:val="20"/>
                <w:szCs w:val="20"/>
              </w:rPr>
            </w:pPr>
          </w:p>
        </w:tc>
        <w:tc>
          <w:tcPr>
            <w:tcW w:w="628" w:type="dxa"/>
            <w:shd w:val="clear" w:color="auto" w:fill="auto"/>
            <w:vAlign w:val="center"/>
          </w:tcPr>
          <w:p w14:paraId="33709CA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25 </w:t>
            </w:r>
          </w:p>
        </w:tc>
        <w:tc>
          <w:tcPr>
            <w:tcW w:w="1379" w:type="dxa"/>
            <w:shd w:val="clear" w:color="auto" w:fill="auto"/>
            <w:vAlign w:val="center"/>
          </w:tcPr>
          <w:p w14:paraId="20B33DD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0F6CDBF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*网络规格</w:t>
            </w:r>
          </w:p>
        </w:tc>
        <w:tc>
          <w:tcPr>
            <w:tcW w:w="1343" w:type="dxa"/>
            <w:shd w:val="clear" w:color="auto" w:fill="auto"/>
            <w:vAlign w:val="center"/>
          </w:tcPr>
          <w:p w14:paraId="57E74F9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独立网卡接口类型</w:t>
            </w:r>
          </w:p>
        </w:tc>
        <w:tc>
          <w:tcPr>
            <w:tcW w:w="3548" w:type="dxa"/>
            <w:shd w:val="clear" w:color="auto" w:fill="auto"/>
            <w:vAlign w:val="center"/>
          </w:tcPr>
          <w:p w14:paraId="5FF9133D">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3A8A3E5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5527E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AE57FB5">
            <w:pPr>
              <w:jc w:val="center"/>
              <w:rPr>
                <w:rFonts w:ascii="宋体" w:hAnsi="宋体" w:eastAsia="宋体" w:cs="仿宋"/>
                <w:sz w:val="20"/>
                <w:szCs w:val="20"/>
              </w:rPr>
            </w:pPr>
          </w:p>
        </w:tc>
        <w:tc>
          <w:tcPr>
            <w:tcW w:w="628" w:type="dxa"/>
            <w:shd w:val="clear" w:color="auto" w:fill="auto"/>
            <w:vAlign w:val="center"/>
          </w:tcPr>
          <w:p w14:paraId="19671E2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26 </w:t>
            </w:r>
          </w:p>
        </w:tc>
        <w:tc>
          <w:tcPr>
            <w:tcW w:w="1379" w:type="dxa"/>
            <w:shd w:val="clear" w:color="auto" w:fill="auto"/>
            <w:vAlign w:val="center"/>
          </w:tcPr>
          <w:p w14:paraId="19A8DE8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1DE17E6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*网络规格</w:t>
            </w:r>
          </w:p>
        </w:tc>
        <w:tc>
          <w:tcPr>
            <w:tcW w:w="1343" w:type="dxa"/>
            <w:shd w:val="clear" w:color="auto" w:fill="auto"/>
            <w:vAlign w:val="center"/>
          </w:tcPr>
          <w:p w14:paraId="0D747B8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板载网卡接口类型</w:t>
            </w:r>
          </w:p>
        </w:tc>
        <w:tc>
          <w:tcPr>
            <w:tcW w:w="3548" w:type="dxa"/>
            <w:shd w:val="clear" w:color="auto" w:fill="auto"/>
            <w:vAlign w:val="center"/>
          </w:tcPr>
          <w:p w14:paraId="32191A7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70C7914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5873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061EC2C">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F8E13A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27 </w:t>
            </w:r>
          </w:p>
        </w:tc>
        <w:tc>
          <w:tcPr>
            <w:tcW w:w="1379" w:type="dxa"/>
            <w:shd w:val="clear" w:color="auto" w:fill="auto"/>
            <w:vAlign w:val="center"/>
          </w:tcPr>
          <w:p w14:paraId="59E3885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065991E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*网络规格</w:t>
            </w:r>
          </w:p>
        </w:tc>
        <w:tc>
          <w:tcPr>
            <w:tcW w:w="1343" w:type="dxa"/>
            <w:shd w:val="clear" w:color="auto" w:fill="auto"/>
            <w:vAlign w:val="center"/>
          </w:tcPr>
          <w:p w14:paraId="57D7B96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*显示接口</w:t>
            </w:r>
          </w:p>
        </w:tc>
        <w:tc>
          <w:tcPr>
            <w:tcW w:w="3548" w:type="dxa"/>
            <w:shd w:val="clear" w:color="auto" w:fill="auto"/>
            <w:vAlign w:val="center"/>
          </w:tcPr>
          <w:p w14:paraId="6DEB52C1">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显示接口类型不少于 1 种，如：VGA、DP、HDMI 等</w:t>
            </w:r>
          </w:p>
        </w:tc>
        <w:tc>
          <w:tcPr>
            <w:tcW w:w="1293" w:type="dxa"/>
            <w:shd w:val="clear" w:color="auto" w:fill="auto"/>
            <w:vAlign w:val="center"/>
          </w:tcPr>
          <w:p w14:paraId="0323071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4A3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0DA8016">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78C543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28 </w:t>
            </w:r>
          </w:p>
        </w:tc>
        <w:tc>
          <w:tcPr>
            <w:tcW w:w="1379" w:type="dxa"/>
            <w:shd w:val="clear" w:color="auto" w:fill="auto"/>
            <w:vAlign w:val="center"/>
          </w:tcPr>
          <w:p w14:paraId="17F2046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1EF51D4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*网络规格</w:t>
            </w:r>
          </w:p>
        </w:tc>
        <w:tc>
          <w:tcPr>
            <w:tcW w:w="1343" w:type="dxa"/>
            <w:shd w:val="clear" w:color="auto" w:fill="auto"/>
            <w:vAlign w:val="center"/>
          </w:tcPr>
          <w:p w14:paraId="3ADE16B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*USB 接口</w:t>
            </w:r>
          </w:p>
        </w:tc>
        <w:tc>
          <w:tcPr>
            <w:tcW w:w="3548" w:type="dxa"/>
            <w:shd w:val="clear" w:color="auto" w:fill="auto"/>
            <w:vAlign w:val="center"/>
          </w:tcPr>
          <w:p w14:paraId="4598F45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配备 USB 接口，如 USB2.0、USB3.0等</w:t>
            </w:r>
          </w:p>
        </w:tc>
        <w:tc>
          <w:tcPr>
            <w:tcW w:w="1293" w:type="dxa"/>
            <w:shd w:val="clear" w:color="auto" w:fill="auto"/>
            <w:vAlign w:val="center"/>
          </w:tcPr>
          <w:p w14:paraId="311603C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EA12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5E6F1F3">
            <w:pPr>
              <w:jc w:val="center"/>
              <w:rPr>
                <w:rFonts w:ascii="宋体" w:hAnsi="宋体" w:eastAsia="宋体" w:cs="仿宋"/>
                <w:sz w:val="20"/>
                <w:szCs w:val="20"/>
              </w:rPr>
            </w:pPr>
          </w:p>
        </w:tc>
        <w:tc>
          <w:tcPr>
            <w:tcW w:w="628" w:type="dxa"/>
            <w:shd w:val="clear" w:color="auto" w:fill="auto"/>
            <w:vAlign w:val="center"/>
          </w:tcPr>
          <w:p w14:paraId="54DBB50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29 </w:t>
            </w:r>
          </w:p>
        </w:tc>
        <w:tc>
          <w:tcPr>
            <w:tcW w:w="1379" w:type="dxa"/>
            <w:shd w:val="clear" w:color="auto" w:fill="auto"/>
            <w:vAlign w:val="center"/>
          </w:tcPr>
          <w:p w14:paraId="7E7BEC7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7A79145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*网络规格</w:t>
            </w:r>
          </w:p>
        </w:tc>
        <w:tc>
          <w:tcPr>
            <w:tcW w:w="1343" w:type="dxa"/>
            <w:shd w:val="clear" w:color="auto" w:fill="auto"/>
            <w:vAlign w:val="center"/>
          </w:tcPr>
          <w:p w14:paraId="6DB8E18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特殊接口及孔位</w:t>
            </w:r>
          </w:p>
        </w:tc>
        <w:tc>
          <w:tcPr>
            <w:tcW w:w="3548" w:type="dxa"/>
            <w:shd w:val="clear" w:color="auto" w:fill="auto"/>
            <w:vAlign w:val="center"/>
          </w:tcPr>
          <w:p w14:paraId="0A29C7D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373FBAC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5ACA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794B271">
            <w:pPr>
              <w:jc w:val="center"/>
              <w:rPr>
                <w:rFonts w:ascii="宋体" w:hAnsi="宋体" w:eastAsia="宋体" w:cs="仿宋"/>
                <w:sz w:val="20"/>
                <w:szCs w:val="20"/>
              </w:rPr>
            </w:pPr>
          </w:p>
        </w:tc>
        <w:tc>
          <w:tcPr>
            <w:tcW w:w="628" w:type="dxa"/>
            <w:shd w:val="clear" w:color="auto" w:fill="auto"/>
            <w:vAlign w:val="center"/>
          </w:tcPr>
          <w:p w14:paraId="089BFF1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30 </w:t>
            </w:r>
          </w:p>
        </w:tc>
        <w:tc>
          <w:tcPr>
            <w:tcW w:w="1379" w:type="dxa"/>
            <w:shd w:val="clear" w:color="auto" w:fill="auto"/>
            <w:vAlign w:val="top"/>
          </w:tcPr>
          <w:p w14:paraId="4185C7BF">
            <w:pPr>
              <w:jc w:val="left"/>
              <w:rPr>
                <w:rFonts w:ascii="宋体" w:hAnsi="宋体" w:eastAsia="宋体" w:cs="仿宋"/>
                <w:sz w:val="20"/>
                <w:szCs w:val="20"/>
              </w:rPr>
            </w:pPr>
          </w:p>
        </w:tc>
        <w:tc>
          <w:tcPr>
            <w:tcW w:w="832" w:type="dxa"/>
            <w:shd w:val="clear" w:color="auto" w:fill="auto"/>
            <w:vAlign w:val="center"/>
          </w:tcPr>
          <w:p w14:paraId="00E0641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*网络规格</w:t>
            </w:r>
          </w:p>
        </w:tc>
        <w:tc>
          <w:tcPr>
            <w:tcW w:w="1343" w:type="dxa"/>
            <w:shd w:val="clear" w:color="auto" w:fill="auto"/>
            <w:vAlign w:val="center"/>
          </w:tcPr>
          <w:p w14:paraId="6E155C6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其他接口</w:t>
            </w:r>
          </w:p>
        </w:tc>
        <w:tc>
          <w:tcPr>
            <w:tcW w:w="3548" w:type="dxa"/>
            <w:shd w:val="clear" w:color="auto" w:fill="auto"/>
            <w:vAlign w:val="center"/>
          </w:tcPr>
          <w:p w14:paraId="18BE4F3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1F90D4B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61570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363EFB6">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5FD2AB8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31 </w:t>
            </w:r>
          </w:p>
        </w:tc>
        <w:tc>
          <w:tcPr>
            <w:tcW w:w="1379" w:type="dxa"/>
            <w:shd w:val="clear" w:color="auto" w:fill="auto"/>
            <w:vAlign w:val="center"/>
          </w:tcPr>
          <w:p w14:paraId="7775E33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25977EE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*电源规格</w:t>
            </w:r>
          </w:p>
        </w:tc>
        <w:tc>
          <w:tcPr>
            <w:tcW w:w="1343" w:type="dxa"/>
            <w:shd w:val="clear" w:color="auto" w:fill="auto"/>
            <w:vAlign w:val="center"/>
          </w:tcPr>
          <w:p w14:paraId="2A9AB67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电源冗余模式</w:t>
            </w:r>
          </w:p>
        </w:tc>
        <w:tc>
          <w:tcPr>
            <w:tcW w:w="3548" w:type="dxa"/>
            <w:shd w:val="clear" w:color="auto" w:fill="auto"/>
            <w:vAlign w:val="center"/>
          </w:tcPr>
          <w:p w14:paraId="09F1153F">
            <w:pPr>
              <w:keepNext w:val="0"/>
              <w:keepLines w:val="0"/>
              <w:widowControl/>
              <w:suppressLineNumbers w:val="0"/>
              <w:jc w:val="left"/>
              <w:textAlignment w:val="center"/>
              <w:rPr>
                <w:rFonts w:hint="default" w:ascii="宋体" w:hAnsi="宋体" w:eastAsia="宋体" w:cs="仿宋"/>
                <w:sz w:val="20"/>
                <w:szCs w:val="20"/>
                <w:lang w:val="en-US"/>
              </w:rPr>
            </w:pPr>
            <w:r>
              <w:rPr>
                <w:rFonts w:hint="eastAsia" w:ascii="黑体" w:hAnsi="宋体" w:eastAsia="黑体" w:cs="黑体"/>
                <w:i w:val="0"/>
                <w:iCs w:val="0"/>
                <w:color w:val="000000"/>
                <w:kern w:val="0"/>
                <w:sz w:val="16"/>
                <w:szCs w:val="16"/>
                <w:u w:val="none"/>
                <w:lang w:val="en-US" w:eastAsia="zh-CN" w:bidi="ar"/>
              </w:rPr>
              <w:t>整机电源模块按 1+1 冗余配置</w:t>
            </w:r>
          </w:p>
        </w:tc>
        <w:tc>
          <w:tcPr>
            <w:tcW w:w="1293" w:type="dxa"/>
            <w:shd w:val="clear" w:color="auto" w:fill="auto"/>
            <w:vAlign w:val="center"/>
          </w:tcPr>
          <w:p w14:paraId="180D796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4291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7AF6088">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F41FB3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32 </w:t>
            </w:r>
          </w:p>
        </w:tc>
        <w:tc>
          <w:tcPr>
            <w:tcW w:w="1379" w:type="dxa"/>
            <w:shd w:val="clear" w:color="auto" w:fill="auto"/>
            <w:vAlign w:val="center"/>
          </w:tcPr>
          <w:p w14:paraId="2E21EF0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6DDFC60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*电源规格</w:t>
            </w:r>
          </w:p>
        </w:tc>
        <w:tc>
          <w:tcPr>
            <w:tcW w:w="1343" w:type="dxa"/>
            <w:shd w:val="clear" w:color="auto" w:fill="auto"/>
            <w:vAlign w:val="center"/>
          </w:tcPr>
          <w:p w14:paraId="45CD074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*电源模块数量</w:t>
            </w:r>
          </w:p>
        </w:tc>
        <w:tc>
          <w:tcPr>
            <w:tcW w:w="3548" w:type="dxa"/>
            <w:shd w:val="clear" w:color="auto" w:fill="auto"/>
            <w:vAlign w:val="center"/>
          </w:tcPr>
          <w:p w14:paraId="31FD04D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≥2</w:t>
            </w:r>
          </w:p>
        </w:tc>
        <w:tc>
          <w:tcPr>
            <w:tcW w:w="1293" w:type="dxa"/>
            <w:shd w:val="clear" w:color="auto" w:fill="auto"/>
            <w:vAlign w:val="center"/>
          </w:tcPr>
          <w:p w14:paraId="349E415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2D7F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E5E9B9E">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23E57D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33 </w:t>
            </w:r>
          </w:p>
        </w:tc>
        <w:tc>
          <w:tcPr>
            <w:tcW w:w="1379" w:type="dxa"/>
            <w:shd w:val="clear" w:color="auto" w:fill="auto"/>
            <w:vAlign w:val="center"/>
          </w:tcPr>
          <w:p w14:paraId="7DFEC08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2F62B2F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*电源规格</w:t>
            </w:r>
          </w:p>
        </w:tc>
        <w:tc>
          <w:tcPr>
            <w:tcW w:w="1343" w:type="dxa"/>
            <w:shd w:val="clear" w:color="auto" w:fill="auto"/>
            <w:vAlign w:val="center"/>
          </w:tcPr>
          <w:p w14:paraId="3118790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*电源功率</w:t>
            </w:r>
          </w:p>
        </w:tc>
        <w:tc>
          <w:tcPr>
            <w:tcW w:w="3548" w:type="dxa"/>
            <w:shd w:val="clear" w:color="auto" w:fill="auto"/>
            <w:vAlign w:val="center"/>
          </w:tcPr>
          <w:p w14:paraId="441FB071">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电源模块功率有一定冗余，满足处理器满载时的需求</w:t>
            </w:r>
          </w:p>
        </w:tc>
        <w:tc>
          <w:tcPr>
            <w:tcW w:w="1293" w:type="dxa"/>
            <w:shd w:val="clear" w:color="auto" w:fill="auto"/>
            <w:vAlign w:val="center"/>
          </w:tcPr>
          <w:p w14:paraId="78D56EA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34E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04F2786">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8BA3D9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34 </w:t>
            </w:r>
          </w:p>
        </w:tc>
        <w:tc>
          <w:tcPr>
            <w:tcW w:w="1379" w:type="dxa"/>
            <w:shd w:val="clear" w:color="auto" w:fill="auto"/>
            <w:vAlign w:val="center"/>
          </w:tcPr>
          <w:p w14:paraId="6CBEED2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1D7A765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*电源规格</w:t>
            </w:r>
          </w:p>
        </w:tc>
        <w:tc>
          <w:tcPr>
            <w:tcW w:w="1343" w:type="dxa"/>
            <w:shd w:val="clear" w:color="auto" w:fill="auto"/>
            <w:vAlign w:val="center"/>
          </w:tcPr>
          <w:p w14:paraId="57E137D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电源指示灯</w:t>
            </w:r>
          </w:p>
        </w:tc>
        <w:tc>
          <w:tcPr>
            <w:tcW w:w="3548" w:type="dxa"/>
            <w:shd w:val="clear" w:color="auto" w:fill="auto"/>
            <w:vAlign w:val="center"/>
          </w:tcPr>
          <w:p w14:paraId="3EC6550C">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配备电源指示灯，指示待机、工作异常等状态</w:t>
            </w:r>
          </w:p>
        </w:tc>
        <w:tc>
          <w:tcPr>
            <w:tcW w:w="1293" w:type="dxa"/>
            <w:shd w:val="clear" w:color="auto" w:fill="auto"/>
            <w:vAlign w:val="center"/>
          </w:tcPr>
          <w:p w14:paraId="5105015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7A5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EC0B255">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2127B42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35 </w:t>
            </w:r>
          </w:p>
        </w:tc>
        <w:tc>
          <w:tcPr>
            <w:tcW w:w="1379" w:type="dxa"/>
            <w:shd w:val="clear" w:color="auto" w:fill="auto"/>
            <w:vAlign w:val="center"/>
          </w:tcPr>
          <w:p w14:paraId="55C0D5D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19F1247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*整机规格</w:t>
            </w:r>
          </w:p>
        </w:tc>
        <w:tc>
          <w:tcPr>
            <w:tcW w:w="1343" w:type="dxa"/>
            <w:shd w:val="clear" w:color="auto" w:fill="auto"/>
            <w:vAlign w:val="center"/>
          </w:tcPr>
          <w:p w14:paraId="28FBAF5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*外观和结构</w:t>
            </w:r>
          </w:p>
        </w:tc>
        <w:tc>
          <w:tcPr>
            <w:tcW w:w="3548" w:type="dxa"/>
            <w:shd w:val="clear" w:color="auto" w:fill="auto"/>
            <w:vAlign w:val="center"/>
          </w:tcPr>
          <w:p w14:paraId="38280E33">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a)服务器的零部件应紧固无松动，可插拔部件应可靠连接，开关、按钮和其它控制部件应灵活可靠，布局应方便使用；</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b) 产品表面不应有明显的凹痕、划伤、裂缝、变形和污染等。表面涂层均匀，不应起泡、龟裂、脱落和磨损，金属零部件无锈蚀及其它机械损伤；</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c) 产品表面说明功能的文字、符号和标志应清晰、端正且牢固；</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d) 应在服务器的显著位置提供运行状态的指示功能，并在随机文件中明确具体含义；</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e) 机架、机箱的尺寸应符合通用机柜的安装要求，插入总线插座的电路板接口外形尺寸应符合有关总线标准的规定，将机箱固定在机柜上，机箱底面最大下垂变形不得干涉相邻机体；</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f) 高密度服务器应给出 CPU 个数与机柜高度；</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g) 服务器尺寸具体要求在随机文件中明确</w:t>
            </w:r>
          </w:p>
        </w:tc>
        <w:tc>
          <w:tcPr>
            <w:tcW w:w="1293" w:type="dxa"/>
            <w:shd w:val="clear" w:color="auto" w:fill="auto"/>
            <w:vAlign w:val="center"/>
          </w:tcPr>
          <w:p w14:paraId="279C240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1DC3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2497653">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2B94DAF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36 </w:t>
            </w:r>
          </w:p>
        </w:tc>
        <w:tc>
          <w:tcPr>
            <w:tcW w:w="1379" w:type="dxa"/>
            <w:shd w:val="clear" w:color="auto" w:fill="auto"/>
            <w:vAlign w:val="center"/>
          </w:tcPr>
          <w:p w14:paraId="1FCCB87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4718256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*整机规格</w:t>
            </w:r>
          </w:p>
        </w:tc>
        <w:tc>
          <w:tcPr>
            <w:tcW w:w="1343" w:type="dxa"/>
            <w:shd w:val="clear" w:color="auto" w:fill="auto"/>
            <w:vAlign w:val="center"/>
          </w:tcPr>
          <w:p w14:paraId="04D9C2E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*尺寸（高×宽×深）</w:t>
            </w:r>
          </w:p>
        </w:tc>
        <w:tc>
          <w:tcPr>
            <w:tcW w:w="3548" w:type="dxa"/>
            <w:shd w:val="clear" w:color="auto" w:fill="auto"/>
            <w:vAlign w:val="center"/>
          </w:tcPr>
          <w:p w14:paraId="58D2E47E">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供应商给出产品尺寸；设计应遵循标准化、系列化的要求；机箱的内部结构符合通用部件的安装需要</w:t>
            </w:r>
          </w:p>
        </w:tc>
        <w:tc>
          <w:tcPr>
            <w:tcW w:w="1293" w:type="dxa"/>
            <w:shd w:val="clear" w:color="auto" w:fill="auto"/>
            <w:vAlign w:val="center"/>
          </w:tcPr>
          <w:p w14:paraId="5B27878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7963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6996FBB">
            <w:pPr>
              <w:jc w:val="center"/>
              <w:rPr>
                <w:rFonts w:ascii="宋体" w:hAnsi="宋体" w:eastAsia="宋体" w:cs="仿宋"/>
                <w:sz w:val="20"/>
                <w:szCs w:val="20"/>
              </w:rPr>
            </w:pPr>
          </w:p>
        </w:tc>
        <w:tc>
          <w:tcPr>
            <w:tcW w:w="628" w:type="dxa"/>
            <w:shd w:val="clear" w:color="auto" w:fill="auto"/>
            <w:vAlign w:val="center"/>
          </w:tcPr>
          <w:p w14:paraId="487F0D0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37 </w:t>
            </w:r>
          </w:p>
        </w:tc>
        <w:tc>
          <w:tcPr>
            <w:tcW w:w="1379" w:type="dxa"/>
            <w:shd w:val="clear" w:color="auto" w:fill="auto"/>
            <w:vAlign w:val="center"/>
          </w:tcPr>
          <w:p w14:paraId="38BEA4B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6F46A85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*整机规格</w:t>
            </w:r>
          </w:p>
        </w:tc>
        <w:tc>
          <w:tcPr>
            <w:tcW w:w="1343" w:type="dxa"/>
            <w:shd w:val="clear" w:color="auto" w:fill="auto"/>
            <w:vAlign w:val="center"/>
          </w:tcPr>
          <w:p w14:paraId="59B0BB4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服务器导轨</w:t>
            </w:r>
          </w:p>
        </w:tc>
        <w:tc>
          <w:tcPr>
            <w:tcW w:w="3548" w:type="dxa"/>
            <w:shd w:val="clear" w:color="auto" w:fill="auto"/>
            <w:vAlign w:val="center"/>
          </w:tcPr>
          <w:p w14:paraId="4CABEEAE">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0B78C2B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2F18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181AABD">
            <w:pPr>
              <w:jc w:val="center"/>
              <w:rPr>
                <w:rFonts w:ascii="宋体" w:hAnsi="宋体" w:eastAsia="宋体" w:cs="仿宋"/>
                <w:sz w:val="20"/>
                <w:szCs w:val="20"/>
              </w:rPr>
            </w:pPr>
          </w:p>
        </w:tc>
        <w:tc>
          <w:tcPr>
            <w:tcW w:w="628" w:type="dxa"/>
            <w:shd w:val="clear" w:color="auto" w:fill="auto"/>
            <w:vAlign w:val="center"/>
          </w:tcPr>
          <w:p w14:paraId="3593FD3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38 </w:t>
            </w:r>
          </w:p>
        </w:tc>
        <w:tc>
          <w:tcPr>
            <w:tcW w:w="1379" w:type="dxa"/>
            <w:shd w:val="clear" w:color="auto" w:fill="auto"/>
            <w:vAlign w:val="center"/>
          </w:tcPr>
          <w:p w14:paraId="32ABE27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409A766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*整机规格</w:t>
            </w:r>
          </w:p>
        </w:tc>
        <w:tc>
          <w:tcPr>
            <w:tcW w:w="1343" w:type="dxa"/>
            <w:shd w:val="clear" w:color="auto" w:fill="auto"/>
            <w:vAlign w:val="center"/>
          </w:tcPr>
          <w:p w14:paraId="754AA193">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CPU 个数与机柜高度单位(U)比</w:t>
            </w:r>
          </w:p>
        </w:tc>
        <w:tc>
          <w:tcPr>
            <w:tcW w:w="3548" w:type="dxa"/>
            <w:shd w:val="clear" w:color="auto" w:fill="auto"/>
            <w:vAlign w:val="center"/>
          </w:tcPr>
          <w:p w14:paraId="569D0710">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01FA269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4ACD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5F9DBF5">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6AE521A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39 </w:t>
            </w:r>
          </w:p>
        </w:tc>
        <w:tc>
          <w:tcPr>
            <w:tcW w:w="1379" w:type="dxa"/>
            <w:shd w:val="clear" w:color="auto" w:fill="auto"/>
            <w:vAlign w:val="center"/>
          </w:tcPr>
          <w:p w14:paraId="0A2A825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1F362FA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*整机规格</w:t>
            </w:r>
          </w:p>
        </w:tc>
        <w:tc>
          <w:tcPr>
            <w:tcW w:w="1343" w:type="dxa"/>
            <w:shd w:val="clear" w:color="auto" w:fill="auto"/>
            <w:vAlign w:val="center"/>
          </w:tcPr>
          <w:p w14:paraId="1450794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*环境适应性</w:t>
            </w:r>
          </w:p>
        </w:tc>
        <w:tc>
          <w:tcPr>
            <w:tcW w:w="3548" w:type="dxa"/>
            <w:shd w:val="clear" w:color="auto" w:fill="auto"/>
            <w:vAlign w:val="center"/>
          </w:tcPr>
          <w:p w14:paraId="2C40D1BC">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气候环境适应性应符合GB/T9813.3 的有关规定，工作温度 10~35℃ , 贮存运输温度-40～55℃ ; 工作相对湿度35%～80%，贮存运输相对湿度 20％～93%（40℃) ; 大气压86～106kPa</w:t>
            </w:r>
          </w:p>
        </w:tc>
        <w:tc>
          <w:tcPr>
            <w:tcW w:w="1293" w:type="dxa"/>
            <w:shd w:val="clear" w:color="auto" w:fill="auto"/>
            <w:vAlign w:val="center"/>
          </w:tcPr>
          <w:p w14:paraId="3E845EC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200F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4D0FEEB">
            <w:pPr>
              <w:jc w:val="center"/>
              <w:rPr>
                <w:rFonts w:ascii="宋体" w:hAnsi="宋体" w:eastAsia="宋体" w:cs="仿宋"/>
                <w:sz w:val="20"/>
                <w:szCs w:val="20"/>
              </w:rPr>
            </w:pPr>
          </w:p>
        </w:tc>
        <w:tc>
          <w:tcPr>
            <w:tcW w:w="628" w:type="dxa"/>
            <w:shd w:val="clear" w:color="auto" w:fill="auto"/>
            <w:vAlign w:val="center"/>
          </w:tcPr>
          <w:p w14:paraId="748D9DB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40 </w:t>
            </w:r>
          </w:p>
        </w:tc>
        <w:tc>
          <w:tcPr>
            <w:tcW w:w="1379" w:type="dxa"/>
            <w:shd w:val="clear" w:color="auto" w:fill="auto"/>
            <w:vAlign w:val="center"/>
          </w:tcPr>
          <w:p w14:paraId="79113D1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686D3FC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*整机规格</w:t>
            </w:r>
          </w:p>
        </w:tc>
        <w:tc>
          <w:tcPr>
            <w:tcW w:w="1343" w:type="dxa"/>
            <w:shd w:val="clear" w:color="auto" w:fill="auto"/>
            <w:vAlign w:val="center"/>
          </w:tcPr>
          <w:p w14:paraId="6B9923A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特殊机型环境适应性</w:t>
            </w:r>
          </w:p>
        </w:tc>
        <w:tc>
          <w:tcPr>
            <w:tcW w:w="3548" w:type="dxa"/>
            <w:shd w:val="clear" w:color="auto" w:fill="auto"/>
            <w:vAlign w:val="center"/>
          </w:tcPr>
          <w:p w14:paraId="149D9CB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4329FC3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F6A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5228C5F">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2530CAA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41 </w:t>
            </w:r>
          </w:p>
        </w:tc>
        <w:tc>
          <w:tcPr>
            <w:tcW w:w="1379" w:type="dxa"/>
            <w:shd w:val="clear" w:color="auto" w:fill="auto"/>
            <w:vAlign w:val="center"/>
          </w:tcPr>
          <w:p w14:paraId="3BE5874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13FD9B8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*整机规格</w:t>
            </w:r>
          </w:p>
        </w:tc>
        <w:tc>
          <w:tcPr>
            <w:tcW w:w="1343" w:type="dxa"/>
            <w:shd w:val="clear" w:color="auto" w:fill="auto"/>
            <w:vAlign w:val="center"/>
          </w:tcPr>
          <w:p w14:paraId="5232847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*机械环境适应性</w:t>
            </w:r>
          </w:p>
        </w:tc>
        <w:tc>
          <w:tcPr>
            <w:tcW w:w="3548" w:type="dxa"/>
            <w:shd w:val="clear" w:color="auto" w:fill="auto"/>
            <w:vAlign w:val="center"/>
          </w:tcPr>
          <w:p w14:paraId="6530C78D">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机械环境适应性应符合GB/T9813.3 的有关规定</w:t>
            </w:r>
          </w:p>
        </w:tc>
        <w:tc>
          <w:tcPr>
            <w:tcW w:w="1293" w:type="dxa"/>
            <w:shd w:val="clear" w:color="auto" w:fill="auto"/>
            <w:vAlign w:val="center"/>
          </w:tcPr>
          <w:p w14:paraId="6C772C2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1D7B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6852B7D">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0015F4C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42 </w:t>
            </w:r>
          </w:p>
        </w:tc>
        <w:tc>
          <w:tcPr>
            <w:tcW w:w="1379" w:type="dxa"/>
            <w:shd w:val="clear" w:color="auto" w:fill="auto"/>
            <w:vAlign w:val="center"/>
          </w:tcPr>
          <w:p w14:paraId="153CD54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259744D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*整机规格</w:t>
            </w:r>
          </w:p>
        </w:tc>
        <w:tc>
          <w:tcPr>
            <w:tcW w:w="1343" w:type="dxa"/>
            <w:shd w:val="clear" w:color="auto" w:fill="auto"/>
            <w:vAlign w:val="center"/>
          </w:tcPr>
          <w:p w14:paraId="0546F21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*噪声</w:t>
            </w:r>
          </w:p>
        </w:tc>
        <w:tc>
          <w:tcPr>
            <w:tcW w:w="3548" w:type="dxa"/>
            <w:shd w:val="clear" w:color="auto" w:fill="auto"/>
            <w:vAlign w:val="center"/>
          </w:tcPr>
          <w:p w14:paraId="7539114F">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符合 GB/T 9813.3 的有关规定，在产品说明中给出具体测试值塔式服务器噪声在空闲状态下不大于 50dB</w:t>
            </w:r>
          </w:p>
        </w:tc>
        <w:tc>
          <w:tcPr>
            <w:tcW w:w="1293" w:type="dxa"/>
            <w:shd w:val="clear" w:color="auto" w:fill="auto"/>
            <w:vAlign w:val="center"/>
          </w:tcPr>
          <w:p w14:paraId="0BDB760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1DD1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381A265">
            <w:pPr>
              <w:jc w:val="center"/>
              <w:rPr>
                <w:rFonts w:ascii="宋体" w:hAnsi="宋体" w:eastAsia="宋体" w:cs="仿宋"/>
                <w:sz w:val="20"/>
                <w:szCs w:val="20"/>
              </w:rPr>
            </w:pPr>
          </w:p>
        </w:tc>
        <w:tc>
          <w:tcPr>
            <w:tcW w:w="628" w:type="dxa"/>
            <w:shd w:val="clear" w:color="auto" w:fill="auto"/>
            <w:vAlign w:val="center"/>
          </w:tcPr>
          <w:p w14:paraId="3974A37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43 </w:t>
            </w:r>
          </w:p>
        </w:tc>
        <w:tc>
          <w:tcPr>
            <w:tcW w:w="1379" w:type="dxa"/>
            <w:shd w:val="clear" w:color="auto" w:fill="auto"/>
            <w:vAlign w:val="center"/>
          </w:tcPr>
          <w:p w14:paraId="0583E55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0E24CAE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A I 计算单元规格</w:t>
            </w:r>
          </w:p>
        </w:tc>
        <w:tc>
          <w:tcPr>
            <w:tcW w:w="1343" w:type="dxa"/>
            <w:shd w:val="clear" w:color="auto" w:fill="auto"/>
            <w:vAlign w:val="center"/>
          </w:tcPr>
          <w:p w14:paraId="0ED4E72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A I 计算单元</w:t>
            </w:r>
          </w:p>
        </w:tc>
        <w:tc>
          <w:tcPr>
            <w:tcW w:w="3548" w:type="dxa"/>
            <w:shd w:val="clear" w:color="auto" w:fill="auto"/>
            <w:vAlign w:val="center"/>
          </w:tcPr>
          <w:p w14:paraId="1F71BAD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3403BC2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4C5B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7139082">
            <w:pPr>
              <w:jc w:val="center"/>
              <w:rPr>
                <w:rFonts w:ascii="宋体" w:hAnsi="宋体" w:eastAsia="宋体" w:cs="仿宋"/>
                <w:sz w:val="20"/>
                <w:szCs w:val="20"/>
              </w:rPr>
            </w:pPr>
          </w:p>
        </w:tc>
        <w:tc>
          <w:tcPr>
            <w:tcW w:w="628" w:type="dxa"/>
            <w:shd w:val="clear" w:color="auto" w:fill="auto"/>
            <w:vAlign w:val="center"/>
          </w:tcPr>
          <w:p w14:paraId="3A284DA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44 </w:t>
            </w:r>
          </w:p>
        </w:tc>
        <w:tc>
          <w:tcPr>
            <w:tcW w:w="1379" w:type="dxa"/>
            <w:shd w:val="clear" w:color="auto" w:fill="auto"/>
            <w:vAlign w:val="center"/>
          </w:tcPr>
          <w:p w14:paraId="5699615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2D72461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A I 计算单元规格</w:t>
            </w:r>
          </w:p>
        </w:tc>
        <w:tc>
          <w:tcPr>
            <w:tcW w:w="1343" w:type="dxa"/>
            <w:shd w:val="clear" w:color="auto" w:fill="auto"/>
            <w:vAlign w:val="center"/>
          </w:tcPr>
          <w:p w14:paraId="6597879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一键式迁移</w:t>
            </w:r>
          </w:p>
        </w:tc>
        <w:tc>
          <w:tcPr>
            <w:tcW w:w="3548" w:type="dxa"/>
            <w:shd w:val="clear" w:color="auto" w:fill="auto"/>
            <w:vAlign w:val="center"/>
          </w:tcPr>
          <w:p w14:paraId="216D22F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5916C97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41F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05E46DC">
            <w:pPr>
              <w:jc w:val="center"/>
              <w:rPr>
                <w:rFonts w:ascii="宋体" w:hAnsi="宋体" w:eastAsia="宋体" w:cs="仿宋"/>
                <w:sz w:val="20"/>
                <w:szCs w:val="20"/>
              </w:rPr>
            </w:pPr>
          </w:p>
        </w:tc>
        <w:tc>
          <w:tcPr>
            <w:tcW w:w="628" w:type="dxa"/>
            <w:shd w:val="clear" w:color="auto" w:fill="auto"/>
            <w:vAlign w:val="center"/>
          </w:tcPr>
          <w:p w14:paraId="752F9D5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45 </w:t>
            </w:r>
          </w:p>
        </w:tc>
        <w:tc>
          <w:tcPr>
            <w:tcW w:w="1379" w:type="dxa"/>
            <w:shd w:val="clear" w:color="auto" w:fill="auto"/>
            <w:vAlign w:val="center"/>
          </w:tcPr>
          <w:p w14:paraId="1D83DE1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57CC590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机柜规格</w:t>
            </w:r>
          </w:p>
        </w:tc>
        <w:tc>
          <w:tcPr>
            <w:tcW w:w="1343" w:type="dxa"/>
            <w:shd w:val="clear" w:color="auto" w:fill="auto"/>
            <w:vAlign w:val="center"/>
          </w:tcPr>
          <w:p w14:paraId="64A8D81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*机柜尺寸</w:t>
            </w:r>
          </w:p>
        </w:tc>
        <w:tc>
          <w:tcPr>
            <w:tcW w:w="3548" w:type="dxa"/>
            <w:shd w:val="clear" w:color="auto" w:fill="auto"/>
            <w:vAlign w:val="center"/>
          </w:tcPr>
          <w:p w14:paraId="75540D0B">
            <w:pPr>
              <w:keepNext w:val="0"/>
              <w:keepLines w:val="0"/>
              <w:widowControl/>
              <w:suppressLineNumbers w:val="0"/>
              <w:jc w:val="left"/>
              <w:textAlignment w:val="center"/>
              <w:rPr>
                <w:rFonts w:ascii="宋体" w:hAnsi="宋体" w:eastAsia="宋体" w:cs="仿宋"/>
                <w:sz w:val="20"/>
                <w:szCs w:val="20"/>
                <w:lang w:val="en-US"/>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01ABDE12">
            <w:pPr>
              <w:keepNext w:val="0"/>
              <w:keepLines w:val="0"/>
              <w:widowControl/>
              <w:suppressLineNumbers w:val="0"/>
              <w:jc w:val="center"/>
              <w:textAlignment w:val="center"/>
              <w:rPr>
                <w:rFonts w:ascii="宋体" w:hAnsi="宋体" w:eastAsia="宋体" w:cs="仿宋"/>
                <w:sz w:val="20"/>
                <w:szCs w:val="20"/>
                <w:lang w:val="en-US" w:eastAsia="zh-CN"/>
              </w:rPr>
            </w:pPr>
            <w:r>
              <w:rPr>
                <w:rFonts w:hint="eastAsia" w:ascii="黑体" w:hAnsi="宋体" w:eastAsia="黑体" w:cs="黑体"/>
                <w:i w:val="0"/>
                <w:iCs w:val="0"/>
                <w:color w:val="000000"/>
                <w:kern w:val="0"/>
                <w:sz w:val="16"/>
                <w:szCs w:val="16"/>
                <w:u w:val="none"/>
                <w:lang w:val="en-US" w:eastAsia="zh-CN" w:bidi="ar"/>
              </w:rPr>
              <w:t>/</w:t>
            </w:r>
          </w:p>
        </w:tc>
      </w:tr>
      <w:tr w14:paraId="28D99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346C9DC">
            <w:pPr>
              <w:jc w:val="center"/>
              <w:rPr>
                <w:rFonts w:ascii="宋体" w:hAnsi="宋体" w:eastAsia="宋体" w:cs="仿宋"/>
                <w:sz w:val="20"/>
                <w:szCs w:val="20"/>
              </w:rPr>
            </w:pPr>
          </w:p>
        </w:tc>
        <w:tc>
          <w:tcPr>
            <w:tcW w:w="628" w:type="dxa"/>
            <w:shd w:val="clear" w:color="auto" w:fill="auto"/>
            <w:vAlign w:val="center"/>
          </w:tcPr>
          <w:p w14:paraId="31A1948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46 </w:t>
            </w:r>
          </w:p>
        </w:tc>
        <w:tc>
          <w:tcPr>
            <w:tcW w:w="1379" w:type="dxa"/>
            <w:shd w:val="clear" w:color="auto" w:fill="auto"/>
            <w:vAlign w:val="center"/>
          </w:tcPr>
          <w:p w14:paraId="3A29B12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668F40E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机柜规格</w:t>
            </w:r>
          </w:p>
        </w:tc>
        <w:tc>
          <w:tcPr>
            <w:tcW w:w="1343" w:type="dxa"/>
            <w:shd w:val="clear" w:color="auto" w:fill="auto"/>
            <w:vAlign w:val="center"/>
          </w:tcPr>
          <w:p w14:paraId="23E7EC4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机柜管理板</w:t>
            </w:r>
          </w:p>
        </w:tc>
        <w:tc>
          <w:tcPr>
            <w:tcW w:w="3548" w:type="dxa"/>
            <w:shd w:val="clear" w:color="auto" w:fill="auto"/>
            <w:vAlign w:val="center"/>
          </w:tcPr>
          <w:p w14:paraId="363125A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3050AF6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322B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EC1E1B8">
            <w:pPr>
              <w:jc w:val="center"/>
              <w:rPr>
                <w:rFonts w:ascii="宋体" w:hAnsi="宋体" w:eastAsia="宋体" w:cs="仿宋"/>
                <w:sz w:val="20"/>
                <w:szCs w:val="20"/>
              </w:rPr>
            </w:pPr>
          </w:p>
        </w:tc>
        <w:tc>
          <w:tcPr>
            <w:tcW w:w="628" w:type="dxa"/>
            <w:shd w:val="clear" w:color="auto" w:fill="auto"/>
            <w:vAlign w:val="center"/>
          </w:tcPr>
          <w:p w14:paraId="3D046F4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47 </w:t>
            </w:r>
          </w:p>
        </w:tc>
        <w:tc>
          <w:tcPr>
            <w:tcW w:w="1379" w:type="dxa"/>
            <w:shd w:val="clear" w:color="auto" w:fill="auto"/>
            <w:vAlign w:val="center"/>
          </w:tcPr>
          <w:p w14:paraId="71FE092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02C6BB8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机柜规格</w:t>
            </w:r>
          </w:p>
        </w:tc>
        <w:tc>
          <w:tcPr>
            <w:tcW w:w="1343" w:type="dxa"/>
            <w:shd w:val="clear" w:color="auto" w:fill="auto"/>
            <w:vAlign w:val="center"/>
          </w:tcPr>
          <w:p w14:paraId="61813AA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机柜电源规格</w:t>
            </w:r>
          </w:p>
        </w:tc>
        <w:tc>
          <w:tcPr>
            <w:tcW w:w="3548" w:type="dxa"/>
            <w:shd w:val="clear" w:color="auto" w:fill="auto"/>
            <w:vAlign w:val="center"/>
          </w:tcPr>
          <w:p w14:paraId="651E715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609E99C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D10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28636C7">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A93F65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48 </w:t>
            </w:r>
          </w:p>
        </w:tc>
        <w:tc>
          <w:tcPr>
            <w:tcW w:w="1379" w:type="dxa"/>
            <w:shd w:val="clear" w:color="auto" w:fill="auto"/>
            <w:vAlign w:val="center"/>
          </w:tcPr>
          <w:p w14:paraId="1DB8BE7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615551B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*主板功能</w:t>
            </w:r>
          </w:p>
        </w:tc>
        <w:tc>
          <w:tcPr>
            <w:tcW w:w="1343" w:type="dxa"/>
            <w:shd w:val="clear" w:color="auto" w:fill="auto"/>
            <w:vAlign w:val="center"/>
          </w:tcPr>
          <w:p w14:paraId="3958D1F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*主板外部接口种类</w:t>
            </w:r>
          </w:p>
        </w:tc>
        <w:tc>
          <w:tcPr>
            <w:tcW w:w="3548" w:type="dxa"/>
            <w:shd w:val="clear" w:color="auto" w:fill="auto"/>
            <w:vAlign w:val="center"/>
          </w:tcPr>
          <w:p w14:paraId="4020B57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支持 USB、显示、管理等接口，如：VGA、DP、HDMI、USB3.0、PS/2 接口、BMC 管理端口</w:t>
            </w:r>
          </w:p>
        </w:tc>
        <w:tc>
          <w:tcPr>
            <w:tcW w:w="1293" w:type="dxa"/>
            <w:shd w:val="clear" w:color="auto" w:fill="auto"/>
            <w:vAlign w:val="center"/>
          </w:tcPr>
          <w:p w14:paraId="6FBCDA0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1C5D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10C3478">
            <w:pPr>
              <w:jc w:val="center"/>
              <w:rPr>
                <w:rFonts w:ascii="宋体" w:hAnsi="宋体" w:eastAsia="宋体" w:cs="仿宋"/>
                <w:sz w:val="20"/>
                <w:szCs w:val="20"/>
              </w:rPr>
            </w:pPr>
          </w:p>
        </w:tc>
        <w:tc>
          <w:tcPr>
            <w:tcW w:w="628" w:type="dxa"/>
            <w:shd w:val="clear" w:color="auto" w:fill="auto"/>
            <w:vAlign w:val="center"/>
          </w:tcPr>
          <w:p w14:paraId="0AB8DC1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49 </w:t>
            </w:r>
          </w:p>
        </w:tc>
        <w:tc>
          <w:tcPr>
            <w:tcW w:w="1379" w:type="dxa"/>
            <w:shd w:val="clear" w:color="auto" w:fill="auto"/>
            <w:vAlign w:val="center"/>
          </w:tcPr>
          <w:p w14:paraId="6D656ED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4AB1953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*主板功能</w:t>
            </w:r>
          </w:p>
        </w:tc>
        <w:tc>
          <w:tcPr>
            <w:tcW w:w="1343" w:type="dxa"/>
            <w:shd w:val="clear" w:color="auto" w:fill="auto"/>
            <w:vAlign w:val="center"/>
          </w:tcPr>
          <w:p w14:paraId="4467DDC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主板防烧板设计</w:t>
            </w:r>
          </w:p>
        </w:tc>
        <w:tc>
          <w:tcPr>
            <w:tcW w:w="3548" w:type="dxa"/>
            <w:shd w:val="clear" w:color="auto" w:fill="auto"/>
            <w:vAlign w:val="center"/>
          </w:tcPr>
          <w:p w14:paraId="3478D0A2">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62FCC7D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1459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2FFB8C3">
            <w:pPr>
              <w:jc w:val="center"/>
              <w:rPr>
                <w:rFonts w:ascii="宋体" w:hAnsi="宋体" w:eastAsia="宋体" w:cs="仿宋"/>
                <w:sz w:val="20"/>
                <w:szCs w:val="20"/>
              </w:rPr>
            </w:pPr>
          </w:p>
        </w:tc>
        <w:tc>
          <w:tcPr>
            <w:tcW w:w="628" w:type="dxa"/>
            <w:shd w:val="clear" w:color="auto" w:fill="auto"/>
            <w:vAlign w:val="center"/>
          </w:tcPr>
          <w:p w14:paraId="7616EF3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50 </w:t>
            </w:r>
          </w:p>
        </w:tc>
        <w:tc>
          <w:tcPr>
            <w:tcW w:w="1379" w:type="dxa"/>
            <w:shd w:val="clear" w:color="auto" w:fill="auto"/>
            <w:vAlign w:val="center"/>
          </w:tcPr>
          <w:p w14:paraId="6C608F9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34BF609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*主板功能</w:t>
            </w:r>
          </w:p>
        </w:tc>
        <w:tc>
          <w:tcPr>
            <w:tcW w:w="1343" w:type="dxa"/>
            <w:shd w:val="clear" w:color="auto" w:fill="auto"/>
            <w:vAlign w:val="center"/>
          </w:tcPr>
          <w:p w14:paraId="00C9B88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扩展功能</w:t>
            </w:r>
          </w:p>
        </w:tc>
        <w:tc>
          <w:tcPr>
            <w:tcW w:w="3548" w:type="dxa"/>
            <w:shd w:val="clear" w:color="auto" w:fill="auto"/>
            <w:vAlign w:val="center"/>
          </w:tcPr>
          <w:p w14:paraId="2AD414BD">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4533413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6365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1015FA3">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08BA35B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51 </w:t>
            </w:r>
          </w:p>
        </w:tc>
        <w:tc>
          <w:tcPr>
            <w:tcW w:w="1379" w:type="dxa"/>
            <w:shd w:val="clear" w:color="auto" w:fill="auto"/>
            <w:vAlign w:val="center"/>
          </w:tcPr>
          <w:p w14:paraId="750BA45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5EDD147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*网络功能</w:t>
            </w:r>
          </w:p>
        </w:tc>
        <w:tc>
          <w:tcPr>
            <w:tcW w:w="1343" w:type="dxa"/>
            <w:shd w:val="clear" w:color="auto" w:fill="auto"/>
            <w:vAlign w:val="center"/>
          </w:tcPr>
          <w:p w14:paraId="7BB104C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*网络功能</w:t>
            </w:r>
          </w:p>
        </w:tc>
        <w:tc>
          <w:tcPr>
            <w:tcW w:w="3548" w:type="dxa"/>
            <w:shd w:val="clear" w:color="auto" w:fill="auto"/>
            <w:vAlign w:val="center"/>
          </w:tcPr>
          <w:p w14:paraId="7A88D04D">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支持网络连接、网络访问、数据交换和网络管控功能</w:t>
            </w:r>
          </w:p>
        </w:tc>
        <w:tc>
          <w:tcPr>
            <w:tcW w:w="1293" w:type="dxa"/>
            <w:shd w:val="clear" w:color="auto" w:fill="auto"/>
            <w:vAlign w:val="center"/>
          </w:tcPr>
          <w:p w14:paraId="15EC3DA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7003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F56AF31">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652EE0A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52 </w:t>
            </w:r>
          </w:p>
        </w:tc>
        <w:tc>
          <w:tcPr>
            <w:tcW w:w="1379" w:type="dxa"/>
            <w:shd w:val="clear" w:color="auto" w:fill="auto"/>
            <w:vAlign w:val="center"/>
          </w:tcPr>
          <w:p w14:paraId="715AC6A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671ECB8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*CPU功能</w:t>
            </w:r>
          </w:p>
        </w:tc>
        <w:tc>
          <w:tcPr>
            <w:tcW w:w="1343" w:type="dxa"/>
            <w:shd w:val="clear" w:color="auto" w:fill="auto"/>
            <w:vAlign w:val="center"/>
          </w:tcPr>
          <w:p w14:paraId="3276E96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*计算处理</w:t>
            </w:r>
          </w:p>
        </w:tc>
        <w:tc>
          <w:tcPr>
            <w:tcW w:w="3548" w:type="dxa"/>
            <w:shd w:val="clear" w:color="auto" w:fill="auto"/>
            <w:vAlign w:val="center"/>
          </w:tcPr>
          <w:p w14:paraId="126D46CF">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支持通用计算及虚拟化功能。处理器需集成整型计算单元、浮点计算单元、内存控制器、I/O 模块等，处理器与存储部件、网络部件、I/O部件等组成计算系统，提供数据处理、网络接入等计算相关功能</w:t>
            </w:r>
          </w:p>
        </w:tc>
        <w:tc>
          <w:tcPr>
            <w:tcW w:w="1293" w:type="dxa"/>
            <w:shd w:val="clear" w:color="auto" w:fill="auto"/>
            <w:vAlign w:val="center"/>
          </w:tcPr>
          <w:p w14:paraId="2B110C3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2F742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723DC22">
            <w:pPr>
              <w:keepNext w:val="0"/>
              <w:keepLines w:val="0"/>
              <w:widowControl/>
              <w:suppressLineNumbers w:val="0"/>
              <w:jc w:val="center"/>
              <w:textAlignment w:val="center"/>
              <w:rPr>
                <w:rFonts w:ascii="宋体" w:hAnsi="宋体" w:eastAsia="宋体" w:cs="仿宋"/>
                <w:sz w:val="20"/>
                <w:szCs w:val="20"/>
              </w:rPr>
            </w:pPr>
          </w:p>
        </w:tc>
        <w:tc>
          <w:tcPr>
            <w:tcW w:w="628" w:type="dxa"/>
            <w:shd w:val="clear" w:color="auto" w:fill="auto"/>
            <w:vAlign w:val="center"/>
          </w:tcPr>
          <w:p w14:paraId="5FE6B9F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53 </w:t>
            </w:r>
          </w:p>
        </w:tc>
        <w:tc>
          <w:tcPr>
            <w:tcW w:w="1379" w:type="dxa"/>
            <w:shd w:val="clear" w:color="auto" w:fill="auto"/>
            <w:vAlign w:val="center"/>
          </w:tcPr>
          <w:p w14:paraId="557A2FA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3273B1D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*CPU功能</w:t>
            </w:r>
          </w:p>
        </w:tc>
        <w:tc>
          <w:tcPr>
            <w:tcW w:w="1343" w:type="dxa"/>
            <w:shd w:val="clear" w:color="auto" w:fill="auto"/>
            <w:vAlign w:val="center"/>
          </w:tcPr>
          <w:p w14:paraId="68FD0CF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*密码算法   实现</w:t>
            </w:r>
          </w:p>
        </w:tc>
        <w:tc>
          <w:tcPr>
            <w:tcW w:w="3548" w:type="dxa"/>
            <w:shd w:val="clear" w:color="auto" w:fill="auto"/>
            <w:vAlign w:val="center"/>
          </w:tcPr>
          <w:p w14:paraId="339E0C0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174F03D7">
            <w:pPr>
              <w:keepNext w:val="0"/>
              <w:keepLines w:val="0"/>
              <w:widowControl/>
              <w:suppressLineNumbers w:val="0"/>
              <w:jc w:val="center"/>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r>
      <w:tr w14:paraId="524E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B5140AF">
            <w:pPr>
              <w:jc w:val="center"/>
              <w:rPr>
                <w:rFonts w:ascii="宋体" w:hAnsi="宋体" w:eastAsia="宋体" w:cs="仿宋"/>
                <w:sz w:val="20"/>
                <w:szCs w:val="20"/>
              </w:rPr>
            </w:pPr>
          </w:p>
        </w:tc>
        <w:tc>
          <w:tcPr>
            <w:tcW w:w="628" w:type="dxa"/>
            <w:shd w:val="clear" w:color="auto" w:fill="auto"/>
            <w:vAlign w:val="center"/>
          </w:tcPr>
          <w:p w14:paraId="4031BDF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54 </w:t>
            </w:r>
          </w:p>
        </w:tc>
        <w:tc>
          <w:tcPr>
            <w:tcW w:w="1379" w:type="dxa"/>
            <w:shd w:val="clear" w:color="auto" w:fill="auto"/>
            <w:vAlign w:val="center"/>
          </w:tcPr>
          <w:p w14:paraId="0884E73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5DEFE22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存储功能</w:t>
            </w:r>
          </w:p>
        </w:tc>
        <w:tc>
          <w:tcPr>
            <w:tcW w:w="1343" w:type="dxa"/>
            <w:shd w:val="clear" w:color="auto" w:fill="auto"/>
            <w:vAlign w:val="center"/>
          </w:tcPr>
          <w:p w14:paraId="78E9198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内存校验</w:t>
            </w:r>
          </w:p>
        </w:tc>
        <w:tc>
          <w:tcPr>
            <w:tcW w:w="3548" w:type="dxa"/>
            <w:shd w:val="clear" w:color="auto" w:fill="auto"/>
            <w:vAlign w:val="center"/>
          </w:tcPr>
          <w:p w14:paraId="74E03E9B">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609858F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2A93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9304632">
            <w:pPr>
              <w:jc w:val="center"/>
              <w:rPr>
                <w:rFonts w:ascii="宋体" w:hAnsi="宋体" w:eastAsia="宋体" w:cs="仿宋"/>
                <w:sz w:val="20"/>
                <w:szCs w:val="20"/>
              </w:rPr>
            </w:pPr>
          </w:p>
        </w:tc>
        <w:tc>
          <w:tcPr>
            <w:tcW w:w="628" w:type="dxa"/>
            <w:shd w:val="clear" w:color="auto" w:fill="auto"/>
            <w:vAlign w:val="center"/>
          </w:tcPr>
          <w:p w14:paraId="5A0A4DF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55 </w:t>
            </w:r>
          </w:p>
        </w:tc>
        <w:tc>
          <w:tcPr>
            <w:tcW w:w="1379" w:type="dxa"/>
            <w:shd w:val="clear" w:color="auto" w:fill="auto"/>
            <w:vAlign w:val="center"/>
          </w:tcPr>
          <w:p w14:paraId="402C632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487CFA8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存储功能</w:t>
            </w:r>
          </w:p>
        </w:tc>
        <w:tc>
          <w:tcPr>
            <w:tcW w:w="1343" w:type="dxa"/>
            <w:shd w:val="clear" w:color="auto" w:fill="auto"/>
            <w:vAlign w:val="top"/>
          </w:tcPr>
          <w:p w14:paraId="066BA873">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SATA SSDNAND 健康状态上报</w:t>
            </w:r>
          </w:p>
        </w:tc>
        <w:tc>
          <w:tcPr>
            <w:tcW w:w="3548" w:type="dxa"/>
            <w:shd w:val="clear" w:color="auto" w:fill="auto"/>
            <w:vAlign w:val="center"/>
          </w:tcPr>
          <w:p w14:paraId="03EBA852">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24D4B1F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36ED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4F562F6">
            <w:pPr>
              <w:jc w:val="center"/>
              <w:rPr>
                <w:rFonts w:ascii="宋体" w:hAnsi="宋体" w:eastAsia="宋体" w:cs="仿宋"/>
                <w:sz w:val="20"/>
                <w:szCs w:val="20"/>
              </w:rPr>
            </w:pPr>
          </w:p>
        </w:tc>
        <w:tc>
          <w:tcPr>
            <w:tcW w:w="628" w:type="dxa"/>
            <w:shd w:val="clear" w:color="auto" w:fill="auto"/>
            <w:vAlign w:val="center"/>
          </w:tcPr>
          <w:p w14:paraId="63D5366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56 </w:t>
            </w:r>
          </w:p>
        </w:tc>
        <w:tc>
          <w:tcPr>
            <w:tcW w:w="1379" w:type="dxa"/>
            <w:shd w:val="clear" w:color="auto" w:fill="auto"/>
            <w:vAlign w:val="center"/>
          </w:tcPr>
          <w:p w14:paraId="60AFE43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6F3BB54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存储功能</w:t>
            </w:r>
          </w:p>
        </w:tc>
        <w:tc>
          <w:tcPr>
            <w:tcW w:w="1343" w:type="dxa"/>
            <w:shd w:val="clear" w:color="auto" w:fill="auto"/>
            <w:vAlign w:val="top"/>
          </w:tcPr>
          <w:p w14:paraId="6021AC93">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SATA SSD单 die 故障隔离</w:t>
            </w:r>
          </w:p>
        </w:tc>
        <w:tc>
          <w:tcPr>
            <w:tcW w:w="3548" w:type="dxa"/>
            <w:shd w:val="clear" w:color="auto" w:fill="auto"/>
            <w:vAlign w:val="center"/>
          </w:tcPr>
          <w:p w14:paraId="311E5679">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6087C2C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6FEE3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4ACE3C0">
            <w:pPr>
              <w:jc w:val="center"/>
              <w:rPr>
                <w:rFonts w:ascii="宋体" w:hAnsi="宋体" w:eastAsia="宋体" w:cs="仿宋"/>
                <w:sz w:val="20"/>
                <w:szCs w:val="20"/>
              </w:rPr>
            </w:pPr>
          </w:p>
        </w:tc>
        <w:tc>
          <w:tcPr>
            <w:tcW w:w="628" w:type="dxa"/>
            <w:shd w:val="clear" w:color="auto" w:fill="auto"/>
            <w:vAlign w:val="center"/>
          </w:tcPr>
          <w:p w14:paraId="4815EE4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57 </w:t>
            </w:r>
          </w:p>
        </w:tc>
        <w:tc>
          <w:tcPr>
            <w:tcW w:w="1379" w:type="dxa"/>
            <w:shd w:val="clear" w:color="auto" w:fill="auto"/>
            <w:vAlign w:val="center"/>
          </w:tcPr>
          <w:p w14:paraId="1435370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1EFEFB5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RAID卡功能（若支持RAID卡）</w:t>
            </w:r>
          </w:p>
        </w:tc>
        <w:tc>
          <w:tcPr>
            <w:tcW w:w="1343" w:type="dxa"/>
            <w:shd w:val="clear" w:color="auto" w:fill="auto"/>
            <w:vAlign w:val="center"/>
          </w:tcPr>
          <w:p w14:paraId="45DCBE2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RAID 卡RAID 级别支持</w:t>
            </w:r>
          </w:p>
        </w:tc>
        <w:tc>
          <w:tcPr>
            <w:tcW w:w="3548" w:type="dxa"/>
            <w:shd w:val="clear" w:color="auto" w:fill="auto"/>
            <w:vAlign w:val="center"/>
          </w:tcPr>
          <w:p w14:paraId="1C9A8F3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4DCA9FB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5558E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7F767E0">
            <w:pPr>
              <w:jc w:val="center"/>
              <w:rPr>
                <w:rFonts w:ascii="宋体" w:hAnsi="宋体" w:eastAsia="宋体" w:cs="仿宋"/>
                <w:sz w:val="20"/>
                <w:szCs w:val="20"/>
              </w:rPr>
            </w:pPr>
          </w:p>
        </w:tc>
        <w:tc>
          <w:tcPr>
            <w:tcW w:w="628" w:type="dxa"/>
            <w:shd w:val="clear" w:color="auto" w:fill="auto"/>
            <w:vAlign w:val="center"/>
          </w:tcPr>
          <w:p w14:paraId="1E20307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58 </w:t>
            </w:r>
          </w:p>
        </w:tc>
        <w:tc>
          <w:tcPr>
            <w:tcW w:w="1379" w:type="dxa"/>
            <w:shd w:val="clear" w:color="auto" w:fill="auto"/>
            <w:vAlign w:val="center"/>
          </w:tcPr>
          <w:p w14:paraId="7810BA2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7ABF369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RAID卡功能（若支持RAID卡）</w:t>
            </w:r>
          </w:p>
        </w:tc>
        <w:tc>
          <w:tcPr>
            <w:tcW w:w="1343" w:type="dxa"/>
            <w:shd w:val="clear" w:color="auto" w:fill="auto"/>
            <w:vAlign w:val="center"/>
          </w:tcPr>
          <w:p w14:paraId="37E198D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RAID 卡BBU 单元</w:t>
            </w:r>
          </w:p>
        </w:tc>
        <w:tc>
          <w:tcPr>
            <w:tcW w:w="3548" w:type="dxa"/>
            <w:shd w:val="clear" w:color="auto" w:fill="auto"/>
            <w:vAlign w:val="center"/>
          </w:tcPr>
          <w:p w14:paraId="1CB650D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6610D8B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0F2E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B04205D">
            <w:pPr>
              <w:jc w:val="center"/>
              <w:rPr>
                <w:rFonts w:ascii="宋体" w:hAnsi="宋体" w:eastAsia="宋体" w:cs="仿宋"/>
                <w:sz w:val="20"/>
                <w:szCs w:val="20"/>
              </w:rPr>
            </w:pPr>
          </w:p>
        </w:tc>
        <w:tc>
          <w:tcPr>
            <w:tcW w:w="628" w:type="dxa"/>
            <w:shd w:val="clear" w:color="auto" w:fill="auto"/>
            <w:vAlign w:val="center"/>
          </w:tcPr>
          <w:p w14:paraId="2EAE17A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59 </w:t>
            </w:r>
          </w:p>
        </w:tc>
        <w:tc>
          <w:tcPr>
            <w:tcW w:w="1379" w:type="dxa"/>
            <w:shd w:val="clear" w:color="auto" w:fill="auto"/>
            <w:vAlign w:val="top"/>
          </w:tcPr>
          <w:p w14:paraId="73D263A3">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3D8DFB6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光驱功能</w:t>
            </w:r>
          </w:p>
        </w:tc>
        <w:tc>
          <w:tcPr>
            <w:tcW w:w="1343" w:type="dxa"/>
            <w:shd w:val="clear" w:color="auto" w:fill="auto"/>
            <w:vAlign w:val="center"/>
          </w:tcPr>
          <w:p w14:paraId="32D823D3">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光驱类型（是否支持 RW，以及光盘类型CD/DVD）</w:t>
            </w:r>
          </w:p>
        </w:tc>
        <w:tc>
          <w:tcPr>
            <w:tcW w:w="3548" w:type="dxa"/>
            <w:shd w:val="clear" w:color="auto" w:fill="auto"/>
            <w:vAlign w:val="center"/>
          </w:tcPr>
          <w:p w14:paraId="27B9002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0F22EDD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E38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D7FAF24">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2A25806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60 </w:t>
            </w:r>
          </w:p>
        </w:tc>
        <w:tc>
          <w:tcPr>
            <w:tcW w:w="1379" w:type="dxa"/>
            <w:shd w:val="clear" w:color="auto" w:fill="auto"/>
            <w:vAlign w:val="top"/>
          </w:tcPr>
          <w:p w14:paraId="64826DCA">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7C8D38A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*电源功能</w:t>
            </w:r>
          </w:p>
        </w:tc>
        <w:tc>
          <w:tcPr>
            <w:tcW w:w="1343" w:type="dxa"/>
            <w:shd w:val="clear" w:color="auto" w:fill="auto"/>
            <w:vAlign w:val="center"/>
          </w:tcPr>
          <w:p w14:paraId="0B021AA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*电源热插拔</w:t>
            </w:r>
          </w:p>
        </w:tc>
        <w:tc>
          <w:tcPr>
            <w:tcW w:w="3548" w:type="dxa"/>
            <w:shd w:val="clear" w:color="auto" w:fill="auto"/>
            <w:vAlign w:val="center"/>
          </w:tcPr>
          <w:p w14:paraId="606C9468">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整机电源模块应具备热插拔功能</w:t>
            </w:r>
          </w:p>
        </w:tc>
        <w:tc>
          <w:tcPr>
            <w:tcW w:w="1293" w:type="dxa"/>
            <w:shd w:val="clear" w:color="auto" w:fill="auto"/>
            <w:vAlign w:val="center"/>
          </w:tcPr>
          <w:p w14:paraId="528114E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1DB5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F26660D">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6B30A0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61 </w:t>
            </w:r>
          </w:p>
        </w:tc>
        <w:tc>
          <w:tcPr>
            <w:tcW w:w="1379" w:type="dxa"/>
            <w:shd w:val="clear" w:color="auto" w:fill="auto"/>
            <w:vAlign w:val="top"/>
          </w:tcPr>
          <w:p w14:paraId="4E70E5E3">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62C2C0A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*电源功能</w:t>
            </w:r>
          </w:p>
        </w:tc>
        <w:tc>
          <w:tcPr>
            <w:tcW w:w="1343" w:type="dxa"/>
            <w:shd w:val="clear" w:color="auto" w:fill="auto"/>
            <w:vAlign w:val="center"/>
          </w:tcPr>
          <w:p w14:paraId="1704896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*电源过流保护</w:t>
            </w:r>
          </w:p>
        </w:tc>
        <w:tc>
          <w:tcPr>
            <w:tcW w:w="3548" w:type="dxa"/>
            <w:shd w:val="clear" w:color="auto" w:fill="auto"/>
            <w:vAlign w:val="center"/>
          </w:tcPr>
          <w:p w14:paraId="4E4C5DA5">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支持过流及短路保护的功能</w:t>
            </w:r>
          </w:p>
        </w:tc>
        <w:tc>
          <w:tcPr>
            <w:tcW w:w="1293" w:type="dxa"/>
            <w:shd w:val="clear" w:color="auto" w:fill="auto"/>
            <w:vAlign w:val="center"/>
          </w:tcPr>
          <w:p w14:paraId="637AE87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02211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28A25F5">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F5F600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62 </w:t>
            </w:r>
          </w:p>
        </w:tc>
        <w:tc>
          <w:tcPr>
            <w:tcW w:w="1379" w:type="dxa"/>
            <w:shd w:val="clear" w:color="auto" w:fill="auto"/>
            <w:vAlign w:val="top"/>
          </w:tcPr>
          <w:p w14:paraId="62ECD407">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059D89E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*整机功能</w:t>
            </w:r>
          </w:p>
        </w:tc>
        <w:tc>
          <w:tcPr>
            <w:tcW w:w="1343" w:type="dxa"/>
            <w:shd w:val="clear" w:color="auto" w:fill="auto"/>
            <w:vAlign w:val="center"/>
          </w:tcPr>
          <w:p w14:paraId="3036648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*散热方式</w:t>
            </w:r>
          </w:p>
        </w:tc>
        <w:tc>
          <w:tcPr>
            <w:tcW w:w="3548" w:type="dxa"/>
            <w:shd w:val="clear" w:color="auto" w:fill="auto"/>
            <w:vAlign w:val="center"/>
          </w:tcPr>
          <w:p w14:paraId="3CB74772">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支持风冷或液冷等散热方式</w:t>
            </w:r>
          </w:p>
        </w:tc>
        <w:tc>
          <w:tcPr>
            <w:tcW w:w="1293" w:type="dxa"/>
            <w:shd w:val="clear" w:color="auto" w:fill="auto"/>
            <w:vAlign w:val="center"/>
          </w:tcPr>
          <w:p w14:paraId="060E1D4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3B49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DEE4FEE">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41A6966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63 </w:t>
            </w:r>
          </w:p>
        </w:tc>
        <w:tc>
          <w:tcPr>
            <w:tcW w:w="1379" w:type="dxa"/>
            <w:shd w:val="clear" w:color="auto" w:fill="auto"/>
            <w:vAlign w:val="top"/>
          </w:tcPr>
          <w:p w14:paraId="5AFA09F9">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7D0CE49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*整机功能</w:t>
            </w:r>
          </w:p>
        </w:tc>
        <w:tc>
          <w:tcPr>
            <w:tcW w:w="1343" w:type="dxa"/>
            <w:shd w:val="clear" w:color="auto" w:fill="auto"/>
            <w:vAlign w:val="center"/>
          </w:tcPr>
          <w:p w14:paraId="739EE44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其他功能</w:t>
            </w:r>
          </w:p>
        </w:tc>
        <w:tc>
          <w:tcPr>
            <w:tcW w:w="3548" w:type="dxa"/>
            <w:shd w:val="clear" w:color="auto" w:fill="auto"/>
            <w:vAlign w:val="center"/>
          </w:tcPr>
          <w:p w14:paraId="20D0473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支持关键部件冗余（包括电源、风扇等）</w:t>
            </w:r>
          </w:p>
        </w:tc>
        <w:tc>
          <w:tcPr>
            <w:tcW w:w="1293" w:type="dxa"/>
            <w:shd w:val="clear" w:color="auto" w:fill="auto"/>
            <w:vAlign w:val="center"/>
          </w:tcPr>
          <w:p w14:paraId="1069B29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1931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4322B40">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6E8907B">
            <w:pPr>
              <w:keepNext w:val="0"/>
              <w:keepLines w:val="0"/>
              <w:widowControl/>
              <w:suppressLineNumbers w:val="0"/>
              <w:jc w:val="righ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64 </w:t>
            </w:r>
          </w:p>
        </w:tc>
        <w:tc>
          <w:tcPr>
            <w:tcW w:w="1379" w:type="dxa"/>
            <w:shd w:val="clear" w:color="auto" w:fill="auto"/>
            <w:vAlign w:val="center"/>
          </w:tcPr>
          <w:p w14:paraId="1BAED61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59A3F89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*管理系统功能</w:t>
            </w:r>
          </w:p>
        </w:tc>
        <w:tc>
          <w:tcPr>
            <w:tcW w:w="1343" w:type="dxa"/>
            <w:shd w:val="clear" w:color="auto" w:fill="auto"/>
            <w:vAlign w:val="center"/>
          </w:tcPr>
          <w:p w14:paraId="0D62056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*BMC 固件基础功能</w:t>
            </w:r>
          </w:p>
        </w:tc>
        <w:tc>
          <w:tcPr>
            <w:tcW w:w="3548" w:type="dxa"/>
            <w:shd w:val="clear" w:color="auto" w:fill="auto"/>
            <w:vAlign w:val="center"/>
          </w:tcPr>
          <w:p w14:paraId="5136C80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1) 支持 DHCP 设置网络功能；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2)支持静态 IP 设置网络功能；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3)支持设备日志记录，包括但不限于登录日志、操作日志和报警日志等功能；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4)支持日志信息导出和记录删除功能；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5)支持通过管理接口向外输出准确的报警信息功能；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6)设备的BMC 管理软件应能够按报警的严重程度进行区分；</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7)支持 IPMI2.0、SNMP 或 Redfish等接口功能；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8)支持键盘、鼠标和视频的重定向、文本控制台的重定向、远程虚拟媒体、高可靠的硬件监控和管理功能；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9)支持基于网络开启、关闭和重启设备的功能，并查询当前设备开机运行状态；</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10)支持故障提示功能，并可通过接口读取服务器故障信息；</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11)支持基于网络的固件更新功能，包括 BMC 和 BIOS 等；</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12)支持基于网络安装操作系统的功能，并可通过网络控制台访问设备；</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13)支持通过本地的硬盘或光驱等存储设备，基于网络完成设备的操作系统安装功能；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14)支持通过浏览器打开管理界面并登录功能；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15)支持设置口令策略功能；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16)支持访问权限设置功能，并通过日志记录访问事件；</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17)支持对出厂默认的用户名及口令进行安全保护功能，并提供默认口令修改提示；</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18)支持读取设备主板的工作环境温度功能；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19)支持读取服务器 CPU 等核心器件的温度功能；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20)支持通过外部管理工具进行 BMC参数设置的功能，并可基于网络通过外部管理工具对 BMC 进行管理；</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21)应支持固件版本查询、固件升级</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22)支持基于网络实现开关机和复位控制的功能；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23)BMC 启动时间应不超过 180s，实现功能包括网络、IPMI、散热、传感器服务可用；</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24)支持 BMC 固件设置的恢复出厂功能</w:t>
            </w:r>
          </w:p>
        </w:tc>
        <w:tc>
          <w:tcPr>
            <w:tcW w:w="1293" w:type="dxa"/>
            <w:shd w:val="clear" w:color="auto" w:fill="auto"/>
            <w:vAlign w:val="center"/>
          </w:tcPr>
          <w:p w14:paraId="66657798">
            <w:pPr>
              <w:keepNext w:val="0"/>
              <w:keepLines w:val="0"/>
              <w:widowControl/>
              <w:suppressLineNumbers w:val="0"/>
              <w:jc w:val="center"/>
              <w:textAlignment w:val="center"/>
              <w:rPr>
                <w:rFonts w:ascii="宋体" w:hAnsi="宋体" w:eastAsia="宋体" w:cs="仿宋"/>
                <w:kern w:val="0"/>
                <w:sz w:val="20"/>
                <w:szCs w:val="20"/>
                <w:lang w:val="en-US" w:eastAsia="zh-CN" w:bidi="ar"/>
              </w:rPr>
            </w:pPr>
            <w:r>
              <w:rPr>
                <w:rFonts w:hint="eastAsia" w:ascii="黑体" w:hAnsi="宋体" w:eastAsia="黑体" w:cs="黑体"/>
                <w:i w:val="0"/>
                <w:iCs w:val="0"/>
                <w:color w:val="000000"/>
                <w:kern w:val="0"/>
                <w:sz w:val="16"/>
                <w:szCs w:val="16"/>
                <w:u w:val="none"/>
                <w:lang w:val="en-US" w:eastAsia="zh-CN" w:bidi="ar"/>
              </w:rPr>
              <w:t>否</w:t>
            </w:r>
          </w:p>
        </w:tc>
      </w:tr>
      <w:tr w14:paraId="6E9B4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D0B975F">
            <w:pPr>
              <w:jc w:val="center"/>
              <w:rPr>
                <w:rFonts w:ascii="宋体" w:hAnsi="宋体" w:eastAsia="宋体" w:cs="仿宋"/>
                <w:sz w:val="20"/>
                <w:szCs w:val="20"/>
              </w:rPr>
            </w:pPr>
          </w:p>
        </w:tc>
        <w:tc>
          <w:tcPr>
            <w:tcW w:w="628" w:type="dxa"/>
            <w:shd w:val="clear" w:color="auto" w:fill="auto"/>
            <w:vAlign w:val="center"/>
          </w:tcPr>
          <w:p w14:paraId="3BC0053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65 </w:t>
            </w:r>
          </w:p>
        </w:tc>
        <w:tc>
          <w:tcPr>
            <w:tcW w:w="1379" w:type="dxa"/>
            <w:shd w:val="clear" w:color="auto" w:fill="auto"/>
            <w:vAlign w:val="center"/>
          </w:tcPr>
          <w:p w14:paraId="493451E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6F72C7D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*管理系统功能</w:t>
            </w:r>
          </w:p>
        </w:tc>
        <w:tc>
          <w:tcPr>
            <w:tcW w:w="1343" w:type="dxa"/>
            <w:shd w:val="clear" w:color="auto" w:fill="auto"/>
            <w:vAlign w:val="center"/>
          </w:tcPr>
          <w:p w14:paraId="008E031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BMC 固件增强功能</w:t>
            </w:r>
          </w:p>
        </w:tc>
        <w:tc>
          <w:tcPr>
            <w:tcW w:w="3548" w:type="dxa"/>
            <w:shd w:val="clear" w:color="auto" w:fill="auto"/>
            <w:vAlign w:val="center"/>
          </w:tcPr>
          <w:p w14:paraId="057CD245">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33FF0EA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6043F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3A921FB">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2B159C2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66 </w:t>
            </w:r>
          </w:p>
        </w:tc>
        <w:tc>
          <w:tcPr>
            <w:tcW w:w="1379" w:type="dxa"/>
            <w:shd w:val="clear" w:color="auto" w:fill="auto"/>
            <w:vAlign w:val="center"/>
          </w:tcPr>
          <w:p w14:paraId="0EC9F92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7C9AF63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*管理系统功能</w:t>
            </w:r>
          </w:p>
        </w:tc>
        <w:tc>
          <w:tcPr>
            <w:tcW w:w="1343" w:type="dxa"/>
            <w:shd w:val="clear" w:color="auto" w:fill="auto"/>
            <w:vAlign w:val="center"/>
          </w:tcPr>
          <w:p w14:paraId="32C4288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*BIOS 固件基础功能</w:t>
            </w:r>
          </w:p>
        </w:tc>
        <w:tc>
          <w:tcPr>
            <w:tcW w:w="3548" w:type="dxa"/>
            <w:shd w:val="clear" w:color="auto" w:fill="auto"/>
            <w:vAlign w:val="center"/>
          </w:tcPr>
          <w:p w14:paraId="72568C59">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a）支持查看固件版本、内存信息、主板信息、处理器信息和系统时间信息功能；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b）支持上电初始化界面显示 CPU 信息、内存信息、固件版本和部分快捷键信息功能；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c）支持设置界面中英文显示切换功能；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d）支持查看 PCIe 设备信息，SATA设备信息功能；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e）支持操作系统安装和引导功能，应并向操作系统提供计算机主板信息和服务接口；</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f）支持设置启动顺序，并按照设置的启动顺序启动功能；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g）支持安全启动功能；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h）支持设置口令、修改口令、验证口令功能；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i）支持板载显示控制或独立显卡的显示控制功能；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j）支持 RAID 识别和启动功能；k）支持串口重定向功能；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l）支持固件更新功能；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m）支持BIOS 固件设置的恢复出厂功能；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n）支持网络引导启用和关闭功能</w:t>
            </w:r>
          </w:p>
        </w:tc>
        <w:tc>
          <w:tcPr>
            <w:tcW w:w="1293" w:type="dxa"/>
            <w:shd w:val="clear" w:color="auto" w:fill="auto"/>
            <w:vAlign w:val="center"/>
          </w:tcPr>
          <w:p w14:paraId="49B69A9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774FD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7B244A1">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BE0BC7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67 </w:t>
            </w:r>
          </w:p>
        </w:tc>
        <w:tc>
          <w:tcPr>
            <w:tcW w:w="1379" w:type="dxa"/>
            <w:shd w:val="clear" w:color="auto" w:fill="auto"/>
            <w:vAlign w:val="top"/>
          </w:tcPr>
          <w:p w14:paraId="2E73F0C0">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506A71C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*管理系统功能</w:t>
            </w:r>
          </w:p>
        </w:tc>
        <w:tc>
          <w:tcPr>
            <w:tcW w:w="1343" w:type="dxa"/>
            <w:shd w:val="clear" w:color="auto" w:fill="auto"/>
            <w:vAlign w:val="center"/>
          </w:tcPr>
          <w:p w14:paraId="363A139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*远程控制</w:t>
            </w:r>
          </w:p>
        </w:tc>
        <w:tc>
          <w:tcPr>
            <w:tcW w:w="3548" w:type="dxa"/>
            <w:shd w:val="clear" w:color="auto" w:fill="auto"/>
            <w:vAlign w:val="center"/>
          </w:tcPr>
          <w:p w14:paraId="3874BD45">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支持远程关机和重新启动功能</w:t>
            </w:r>
          </w:p>
        </w:tc>
        <w:tc>
          <w:tcPr>
            <w:tcW w:w="1293" w:type="dxa"/>
            <w:shd w:val="clear" w:color="auto" w:fill="auto"/>
            <w:vAlign w:val="center"/>
          </w:tcPr>
          <w:p w14:paraId="1F4D435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46B5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FEA3CB3">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614D783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68 </w:t>
            </w:r>
          </w:p>
        </w:tc>
        <w:tc>
          <w:tcPr>
            <w:tcW w:w="1379" w:type="dxa"/>
            <w:shd w:val="clear" w:color="auto" w:fill="auto"/>
            <w:vAlign w:val="top"/>
          </w:tcPr>
          <w:p w14:paraId="189F1D34">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098807A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*操作系统及驱动功能</w:t>
            </w:r>
          </w:p>
        </w:tc>
        <w:tc>
          <w:tcPr>
            <w:tcW w:w="1343" w:type="dxa"/>
            <w:shd w:val="clear" w:color="auto" w:fill="auto"/>
            <w:vAlign w:val="center"/>
          </w:tcPr>
          <w:p w14:paraId="34D27DBC">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*操作系统及驱动的升级</w:t>
            </w:r>
          </w:p>
        </w:tc>
        <w:tc>
          <w:tcPr>
            <w:tcW w:w="3548" w:type="dxa"/>
            <w:shd w:val="clear" w:color="auto" w:fill="auto"/>
            <w:vAlign w:val="center"/>
          </w:tcPr>
          <w:p w14:paraId="291567B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支持通过网络、闪存盘对操作系统、驱动进行升级</w:t>
            </w:r>
          </w:p>
        </w:tc>
        <w:tc>
          <w:tcPr>
            <w:tcW w:w="1293" w:type="dxa"/>
            <w:shd w:val="clear" w:color="auto" w:fill="auto"/>
            <w:vAlign w:val="center"/>
          </w:tcPr>
          <w:p w14:paraId="0A85584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E7D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CEF4BF0">
            <w:pPr>
              <w:jc w:val="center"/>
              <w:rPr>
                <w:rFonts w:ascii="宋体" w:hAnsi="宋体" w:eastAsia="宋体" w:cs="仿宋"/>
                <w:sz w:val="20"/>
                <w:szCs w:val="20"/>
              </w:rPr>
            </w:pPr>
          </w:p>
        </w:tc>
        <w:tc>
          <w:tcPr>
            <w:tcW w:w="628" w:type="dxa"/>
            <w:shd w:val="clear" w:color="auto" w:fill="auto"/>
            <w:vAlign w:val="center"/>
          </w:tcPr>
          <w:p w14:paraId="0CC59F7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69 </w:t>
            </w:r>
          </w:p>
        </w:tc>
        <w:tc>
          <w:tcPr>
            <w:tcW w:w="1379" w:type="dxa"/>
            <w:shd w:val="clear" w:color="auto" w:fill="auto"/>
            <w:vAlign w:val="top"/>
          </w:tcPr>
          <w:p w14:paraId="5912C83A">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535CADB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*操作系统及驱动功能</w:t>
            </w:r>
          </w:p>
        </w:tc>
        <w:tc>
          <w:tcPr>
            <w:tcW w:w="1343" w:type="dxa"/>
            <w:shd w:val="clear" w:color="auto" w:fill="auto"/>
            <w:vAlign w:val="center"/>
          </w:tcPr>
          <w:p w14:paraId="79E0777F">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操作系统及驱动的备份还原</w:t>
            </w:r>
          </w:p>
        </w:tc>
        <w:tc>
          <w:tcPr>
            <w:tcW w:w="3548" w:type="dxa"/>
            <w:shd w:val="clear" w:color="auto" w:fill="auto"/>
            <w:vAlign w:val="center"/>
          </w:tcPr>
          <w:p w14:paraId="22B2DC79">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0287995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344B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B849049">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69C671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70 </w:t>
            </w:r>
          </w:p>
        </w:tc>
        <w:tc>
          <w:tcPr>
            <w:tcW w:w="1379" w:type="dxa"/>
            <w:shd w:val="clear" w:color="auto" w:fill="auto"/>
            <w:vAlign w:val="center"/>
          </w:tcPr>
          <w:p w14:paraId="71A3DB0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5B3FEAE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*操作系统及驱动功能</w:t>
            </w:r>
          </w:p>
        </w:tc>
        <w:tc>
          <w:tcPr>
            <w:tcW w:w="1343" w:type="dxa"/>
            <w:shd w:val="clear" w:color="auto" w:fill="auto"/>
            <w:vAlign w:val="center"/>
          </w:tcPr>
          <w:p w14:paraId="1FB8F90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*操作系统功能</w:t>
            </w:r>
          </w:p>
        </w:tc>
        <w:tc>
          <w:tcPr>
            <w:tcW w:w="3548" w:type="dxa"/>
            <w:shd w:val="clear" w:color="auto" w:fill="auto"/>
            <w:vAlign w:val="center"/>
          </w:tcPr>
          <w:p w14:paraId="38D6D23E">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a) 支持访问控制、安全审计、网络接入鉴别等功能；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b) 操作系统其他功能应满足操作系统政府采购需求标准中加*的指标要求</w:t>
            </w:r>
          </w:p>
        </w:tc>
        <w:tc>
          <w:tcPr>
            <w:tcW w:w="1293" w:type="dxa"/>
            <w:shd w:val="clear" w:color="auto" w:fill="auto"/>
            <w:vAlign w:val="center"/>
          </w:tcPr>
          <w:p w14:paraId="13D4A08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FD2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8EBD388">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CEADAA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71 </w:t>
            </w:r>
          </w:p>
        </w:tc>
        <w:tc>
          <w:tcPr>
            <w:tcW w:w="1379" w:type="dxa"/>
            <w:shd w:val="clear" w:color="auto" w:fill="auto"/>
            <w:vAlign w:val="center"/>
          </w:tcPr>
          <w:p w14:paraId="333CAB3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5680B7E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*中文信息处理功能</w:t>
            </w:r>
          </w:p>
        </w:tc>
        <w:tc>
          <w:tcPr>
            <w:tcW w:w="1343" w:type="dxa"/>
            <w:shd w:val="clear" w:color="auto" w:fill="auto"/>
            <w:vAlign w:val="center"/>
          </w:tcPr>
          <w:p w14:paraId="667F03F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*中文信息处理</w:t>
            </w:r>
          </w:p>
        </w:tc>
        <w:tc>
          <w:tcPr>
            <w:tcW w:w="3548" w:type="dxa"/>
            <w:shd w:val="clear" w:color="auto" w:fill="auto"/>
            <w:vAlign w:val="center"/>
          </w:tcPr>
          <w:p w14:paraId="5BEAA07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符合 GB 18030 的有关规定</w:t>
            </w:r>
          </w:p>
        </w:tc>
        <w:tc>
          <w:tcPr>
            <w:tcW w:w="1293" w:type="dxa"/>
            <w:shd w:val="clear" w:color="auto" w:fill="auto"/>
            <w:vAlign w:val="center"/>
          </w:tcPr>
          <w:p w14:paraId="1275FD3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F1EF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E88C237">
            <w:pPr>
              <w:jc w:val="center"/>
              <w:rPr>
                <w:rFonts w:ascii="宋体" w:hAnsi="宋体" w:eastAsia="宋体" w:cs="仿宋"/>
                <w:sz w:val="20"/>
                <w:szCs w:val="20"/>
              </w:rPr>
            </w:pPr>
          </w:p>
        </w:tc>
        <w:tc>
          <w:tcPr>
            <w:tcW w:w="628" w:type="dxa"/>
            <w:shd w:val="clear" w:color="auto" w:fill="auto"/>
            <w:vAlign w:val="center"/>
          </w:tcPr>
          <w:p w14:paraId="4532BF0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72 </w:t>
            </w:r>
          </w:p>
        </w:tc>
        <w:tc>
          <w:tcPr>
            <w:tcW w:w="1379" w:type="dxa"/>
            <w:shd w:val="clear" w:color="auto" w:fill="auto"/>
            <w:vAlign w:val="top"/>
          </w:tcPr>
          <w:p w14:paraId="605730F8">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42C5447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机柜功能</w:t>
            </w:r>
          </w:p>
        </w:tc>
        <w:tc>
          <w:tcPr>
            <w:tcW w:w="1343" w:type="dxa"/>
            <w:shd w:val="clear" w:color="auto" w:fill="auto"/>
            <w:vAlign w:val="center"/>
          </w:tcPr>
          <w:p w14:paraId="446DB10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机柜管理功能</w:t>
            </w:r>
          </w:p>
        </w:tc>
        <w:tc>
          <w:tcPr>
            <w:tcW w:w="3548" w:type="dxa"/>
            <w:shd w:val="clear" w:color="auto" w:fill="auto"/>
            <w:vAlign w:val="center"/>
          </w:tcPr>
          <w:p w14:paraId="0049247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7C63D68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2A90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8DD6485">
            <w:pPr>
              <w:jc w:val="center"/>
              <w:rPr>
                <w:rFonts w:ascii="宋体" w:hAnsi="宋体" w:eastAsia="宋体" w:cs="仿宋"/>
                <w:sz w:val="20"/>
                <w:szCs w:val="20"/>
              </w:rPr>
            </w:pPr>
          </w:p>
        </w:tc>
        <w:tc>
          <w:tcPr>
            <w:tcW w:w="628" w:type="dxa"/>
            <w:shd w:val="clear" w:color="auto" w:fill="auto"/>
            <w:vAlign w:val="center"/>
          </w:tcPr>
          <w:p w14:paraId="4C08C0E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73 </w:t>
            </w:r>
          </w:p>
        </w:tc>
        <w:tc>
          <w:tcPr>
            <w:tcW w:w="1379" w:type="dxa"/>
            <w:shd w:val="clear" w:color="auto" w:fill="auto"/>
            <w:vAlign w:val="top"/>
          </w:tcPr>
          <w:p w14:paraId="6B456291">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1A641FC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机柜功能</w:t>
            </w:r>
          </w:p>
        </w:tc>
        <w:tc>
          <w:tcPr>
            <w:tcW w:w="1343" w:type="dxa"/>
            <w:shd w:val="clear" w:color="auto" w:fill="auto"/>
            <w:vAlign w:val="center"/>
          </w:tcPr>
          <w:p w14:paraId="3196F84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机柜通信方式</w:t>
            </w:r>
          </w:p>
        </w:tc>
        <w:tc>
          <w:tcPr>
            <w:tcW w:w="3548" w:type="dxa"/>
            <w:shd w:val="clear" w:color="auto" w:fill="auto"/>
            <w:vAlign w:val="center"/>
          </w:tcPr>
          <w:p w14:paraId="7482790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1EF5615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B1F1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40F86C9">
            <w:pPr>
              <w:jc w:val="center"/>
              <w:rPr>
                <w:rFonts w:ascii="宋体" w:hAnsi="宋体" w:eastAsia="宋体" w:cs="仿宋"/>
                <w:sz w:val="20"/>
                <w:szCs w:val="20"/>
              </w:rPr>
            </w:pPr>
          </w:p>
        </w:tc>
        <w:tc>
          <w:tcPr>
            <w:tcW w:w="628" w:type="dxa"/>
            <w:shd w:val="clear" w:color="auto" w:fill="auto"/>
            <w:vAlign w:val="center"/>
          </w:tcPr>
          <w:p w14:paraId="18610A3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74 </w:t>
            </w:r>
          </w:p>
        </w:tc>
        <w:tc>
          <w:tcPr>
            <w:tcW w:w="1379" w:type="dxa"/>
            <w:shd w:val="clear" w:color="auto" w:fill="auto"/>
            <w:vAlign w:val="top"/>
          </w:tcPr>
          <w:p w14:paraId="654000BB">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45DC096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机柜功能</w:t>
            </w:r>
          </w:p>
        </w:tc>
        <w:tc>
          <w:tcPr>
            <w:tcW w:w="1343" w:type="dxa"/>
            <w:shd w:val="clear" w:color="auto" w:fill="auto"/>
            <w:vAlign w:val="center"/>
          </w:tcPr>
          <w:p w14:paraId="5D29A11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多集群作业管理</w:t>
            </w:r>
          </w:p>
        </w:tc>
        <w:tc>
          <w:tcPr>
            <w:tcW w:w="3548" w:type="dxa"/>
            <w:shd w:val="clear" w:color="auto" w:fill="auto"/>
            <w:vAlign w:val="center"/>
          </w:tcPr>
          <w:p w14:paraId="73734A2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4BEC2F5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3CBE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A273D0E">
            <w:pPr>
              <w:jc w:val="center"/>
              <w:rPr>
                <w:rFonts w:ascii="宋体" w:hAnsi="宋体" w:eastAsia="宋体" w:cs="仿宋"/>
                <w:sz w:val="20"/>
                <w:szCs w:val="20"/>
              </w:rPr>
            </w:pPr>
          </w:p>
        </w:tc>
        <w:tc>
          <w:tcPr>
            <w:tcW w:w="628" w:type="dxa"/>
            <w:shd w:val="clear" w:color="auto" w:fill="auto"/>
            <w:vAlign w:val="center"/>
          </w:tcPr>
          <w:p w14:paraId="730A603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75 </w:t>
            </w:r>
          </w:p>
        </w:tc>
        <w:tc>
          <w:tcPr>
            <w:tcW w:w="1379" w:type="dxa"/>
            <w:shd w:val="clear" w:color="auto" w:fill="auto"/>
            <w:vAlign w:val="center"/>
          </w:tcPr>
          <w:p w14:paraId="751264C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6E0551F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*关键部件安全要求</w:t>
            </w:r>
          </w:p>
        </w:tc>
        <w:tc>
          <w:tcPr>
            <w:tcW w:w="1343" w:type="dxa"/>
            <w:shd w:val="clear" w:color="auto" w:fill="auto"/>
            <w:vAlign w:val="center"/>
          </w:tcPr>
          <w:p w14:paraId="6B8AF22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*关键部件安全要求3</w:t>
            </w:r>
          </w:p>
        </w:tc>
        <w:tc>
          <w:tcPr>
            <w:tcW w:w="3548" w:type="dxa"/>
            <w:shd w:val="clear" w:color="auto" w:fill="auto"/>
            <w:vAlign w:val="center"/>
          </w:tcPr>
          <w:p w14:paraId="3D78E98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031BAD4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3B7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1BB73B4">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4A6F6F7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76 </w:t>
            </w:r>
          </w:p>
        </w:tc>
        <w:tc>
          <w:tcPr>
            <w:tcW w:w="1379" w:type="dxa"/>
            <w:shd w:val="clear" w:color="auto" w:fill="auto"/>
            <w:vAlign w:val="center"/>
          </w:tcPr>
          <w:p w14:paraId="2721F6A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2246E96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5B47C64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*故障检测</w:t>
            </w:r>
          </w:p>
        </w:tc>
        <w:tc>
          <w:tcPr>
            <w:tcW w:w="3548" w:type="dxa"/>
            <w:shd w:val="clear" w:color="auto" w:fill="auto"/>
            <w:vAlign w:val="center"/>
          </w:tcPr>
          <w:p w14:paraId="601134B3">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支持故障检测功能，可以检测到具体的 FRU（内存、硬盘等）的故障并发出告警</w:t>
            </w:r>
          </w:p>
        </w:tc>
        <w:tc>
          <w:tcPr>
            <w:tcW w:w="1293" w:type="dxa"/>
            <w:shd w:val="clear" w:color="auto" w:fill="auto"/>
            <w:vAlign w:val="center"/>
          </w:tcPr>
          <w:p w14:paraId="50EA789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5B1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1AED79C">
            <w:pPr>
              <w:jc w:val="center"/>
              <w:rPr>
                <w:rFonts w:ascii="宋体" w:hAnsi="宋体" w:eastAsia="宋体" w:cs="仿宋"/>
                <w:sz w:val="20"/>
                <w:szCs w:val="20"/>
              </w:rPr>
            </w:pPr>
          </w:p>
        </w:tc>
        <w:tc>
          <w:tcPr>
            <w:tcW w:w="628" w:type="dxa"/>
            <w:shd w:val="clear" w:color="auto" w:fill="auto"/>
            <w:vAlign w:val="center"/>
          </w:tcPr>
          <w:p w14:paraId="5F2F2BE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77 </w:t>
            </w:r>
          </w:p>
        </w:tc>
        <w:tc>
          <w:tcPr>
            <w:tcW w:w="1379" w:type="dxa"/>
            <w:shd w:val="clear" w:color="auto" w:fill="auto"/>
            <w:vAlign w:val="center"/>
          </w:tcPr>
          <w:p w14:paraId="3A1D23B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3DDE42F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6A5448BC">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内存故障智能预测和自愈修复</w:t>
            </w:r>
          </w:p>
        </w:tc>
        <w:tc>
          <w:tcPr>
            <w:tcW w:w="3548" w:type="dxa"/>
            <w:shd w:val="clear" w:color="auto" w:fill="auto"/>
            <w:vAlign w:val="center"/>
          </w:tcPr>
          <w:p w14:paraId="688735F6">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2610BF5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4053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99EB3F7">
            <w:pPr>
              <w:jc w:val="center"/>
              <w:rPr>
                <w:rFonts w:ascii="宋体" w:hAnsi="宋体" w:eastAsia="宋体" w:cs="仿宋"/>
                <w:sz w:val="20"/>
                <w:szCs w:val="20"/>
              </w:rPr>
            </w:pPr>
          </w:p>
        </w:tc>
        <w:tc>
          <w:tcPr>
            <w:tcW w:w="628" w:type="dxa"/>
            <w:shd w:val="clear" w:color="auto" w:fill="auto"/>
            <w:vAlign w:val="center"/>
          </w:tcPr>
          <w:p w14:paraId="515A082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78 </w:t>
            </w:r>
          </w:p>
        </w:tc>
        <w:tc>
          <w:tcPr>
            <w:tcW w:w="1379" w:type="dxa"/>
            <w:shd w:val="clear" w:color="auto" w:fill="auto"/>
            <w:vAlign w:val="center"/>
          </w:tcPr>
          <w:p w14:paraId="66F6E5A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78B8743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75F297A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硬盘故障智能预测</w:t>
            </w:r>
          </w:p>
        </w:tc>
        <w:tc>
          <w:tcPr>
            <w:tcW w:w="3548" w:type="dxa"/>
            <w:shd w:val="clear" w:color="auto" w:fill="auto"/>
            <w:vAlign w:val="center"/>
          </w:tcPr>
          <w:p w14:paraId="6B25B899">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665FD7D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3572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F639A42">
            <w:pPr>
              <w:jc w:val="center"/>
              <w:rPr>
                <w:rFonts w:ascii="宋体" w:hAnsi="宋体" w:eastAsia="宋体" w:cs="仿宋"/>
                <w:sz w:val="20"/>
                <w:szCs w:val="20"/>
              </w:rPr>
            </w:pPr>
          </w:p>
        </w:tc>
        <w:tc>
          <w:tcPr>
            <w:tcW w:w="628" w:type="dxa"/>
            <w:shd w:val="clear" w:color="auto" w:fill="auto"/>
            <w:vAlign w:val="center"/>
          </w:tcPr>
          <w:p w14:paraId="3FECCD5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79 </w:t>
            </w:r>
          </w:p>
        </w:tc>
        <w:tc>
          <w:tcPr>
            <w:tcW w:w="1379" w:type="dxa"/>
            <w:shd w:val="clear" w:color="auto" w:fill="auto"/>
            <w:vAlign w:val="center"/>
          </w:tcPr>
          <w:p w14:paraId="28E4BF7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2273B39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7E45D40D">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PCIe 链路故障智能诊断</w:t>
            </w:r>
          </w:p>
        </w:tc>
        <w:tc>
          <w:tcPr>
            <w:tcW w:w="3548" w:type="dxa"/>
            <w:shd w:val="clear" w:color="auto" w:fill="auto"/>
            <w:vAlign w:val="center"/>
          </w:tcPr>
          <w:p w14:paraId="6D26F369">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3D9CAE5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421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A6BCE7C">
            <w:pPr>
              <w:jc w:val="center"/>
              <w:rPr>
                <w:rFonts w:ascii="宋体" w:hAnsi="宋体" w:eastAsia="宋体" w:cs="仿宋"/>
                <w:sz w:val="20"/>
                <w:szCs w:val="20"/>
              </w:rPr>
            </w:pPr>
          </w:p>
        </w:tc>
        <w:tc>
          <w:tcPr>
            <w:tcW w:w="628" w:type="dxa"/>
            <w:shd w:val="clear" w:color="auto" w:fill="auto"/>
            <w:vAlign w:val="center"/>
          </w:tcPr>
          <w:p w14:paraId="3A98E78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80 </w:t>
            </w:r>
          </w:p>
        </w:tc>
        <w:tc>
          <w:tcPr>
            <w:tcW w:w="1379" w:type="dxa"/>
            <w:shd w:val="clear" w:color="auto" w:fill="auto"/>
            <w:vAlign w:val="center"/>
          </w:tcPr>
          <w:p w14:paraId="498B03A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38DDC32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572036D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内存故障隔离</w:t>
            </w:r>
          </w:p>
        </w:tc>
        <w:tc>
          <w:tcPr>
            <w:tcW w:w="3548" w:type="dxa"/>
            <w:shd w:val="clear" w:color="auto" w:fill="auto"/>
            <w:vAlign w:val="center"/>
          </w:tcPr>
          <w:p w14:paraId="02753628">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3A827A8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648ED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5CEB089">
            <w:pPr>
              <w:jc w:val="center"/>
              <w:rPr>
                <w:rFonts w:ascii="宋体" w:hAnsi="宋体" w:eastAsia="宋体" w:cs="仿宋"/>
                <w:sz w:val="20"/>
                <w:szCs w:val="20"/>
              </w:rPr>
            </w:pPr>
          </w:p>
        </w:tc>
        <w:tc>
          <w:tcPr>
            <w:tcW w:w="628" w:type="dxa"/>
            <w:shd w:val="clear" w:color="auto" w:fill="auto"/>
            <w:vAlign w:val="center"/>
          </w:tcPr>
          <w:p w14:paraId="6BE1014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81 </w:t>
            </w:r>
          </w:p>
        </w:tc>
        <w:tc>
          <w:tcPr>
            <w:tcW w:w="1379" w:type="dxa"/>
            <w:shd w:val="clear" w:color="auto" w:fill="auto"/>
            <w:vAlign w:val="center"/>
          </w:tcPr>
          <w:p w14:paraId="7E6C03C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19933A8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28AC949B">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内存、PCIe卡的故障精准告警功能</w:t>
            </w:r>
          </w:p>
        </w:tc>
        <w:tc>
          <w:tcPr>
            <w:tcW w:w="3548" w:type="dxa"/>
            <w:shd w:val="clear" w:color="auto" w:fill="auto"/>
            <w:vAlign w:val="center"/>
          </w:tcPr>
          <w:p w14:paraId="0833DD36">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6465470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0CCD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3F4314E">
            <w:pPr>
              <w:jc w:val="center"/>
              <w:rPr>
                <w:rFonts w:ascii="宋体" w:hAnsi="宋体" w:eastAsia="宋体" w:cs="仿宋"/>
                <w:sz w:val="20"/>
                <w:szCs w:val="20"/>
              </w:rPr>
            </w:pPr>
          </w:p>
        </w:tc>
        <w:tc>
          <w:tcPr>
            <w:tcW w:w="628" w:type="dxa"/>
            <w:shd w:val="clear" w:color="auto" w:fill="auto"/>
            <w:vAlign w:val="center"/>
          </w:tcPr>
          <w:p w14:paraId="65A8DE2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82 </w:t>
            </w:r>
          </w:p>
        </w:tc>
        <w:tc>
          <w:tcPr>
            <w:tcW w:w="1379" w:type="dxa"/>
            <w:shd w:val="clear" w:color="auto" w:fill="auto"/>
            <w:vAlign w:val="center"/>
          </w:tcPr>
          <w:p w14:paraId="7161CE9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6B8617D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2E851E43">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异常下电关键数据保护</w:t>
            </w:r>
          </w:p>
        </w:tc>
        <w:tc>
          <w:tcPr>
            <w:tcW w:w="3548" w:type="dxa"/>
            <w:shd w:val="clear" w:color="auto" w:fill="auto"/>
            <w:vAlign w:val="center"/>
          </w:tcPr>
          <w:p w14:paraId="7098E4CA">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385B300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0381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F8FCE5C">
            <w:pPr>
              <w:jc w:val="center"/>
              <w:rPr>
                <w:rFonts w:ascii="宋体" w:hAnsi="宋体" w:eastAsia="宋体" w:cs="仿宋"/>
                <w:sz w:val="20"/>
                <w:szCs w:val="20"/>
              </w:rPr>
            </w:pPr>
          </w:p>
        </w:tc>
        <w:tc>
          <w:tcPr>
            <w:tcW w:w="628" w:type="dxa"/>
            <w:shd w:val="clear" w:color="auto" w:fill="auto"/>
            <w:vAlign w:val="center"/>
          </w:tcPr>
          <w:p w14:paraId="5CBD3AA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83 </w:t>
            </w:r>
          </w:p>
        </w:tc>
        <w:tc>
          <w:tcPr>
            <w:tcW w:w="1379" w:type="dxa"/>
            <w:shd w:val="clear" w:color="auto" w:fill="auto"/>
            <w:vAlign w:val="center"/>
          </w:tcPr>
          <w:p w14:paraId="58B4E75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2B5111E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0725A3A9">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BMC/BIOS固件双镜像保护</w:t>
            </w:r>
          </w:p>
        </w:tc>
        <w:tc>
          <w:tcPr>
            <w:tcW w:w="3548" w:type="dxa"/>
            <w:shd w:val="clear" w:color="auto" w:fill="auto"/>
            <w:vAlign w:val="center"/>
          </w:tcPr>
          <w:p w14:paraId="318864C0">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04ACCEA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4C86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5BFB76C">
            <w:pPr>
              <w:jc w:val="center"/>
              <w:rPr>
                <w:rFonts w:ascii="宋体" w:hAnsi="宋体" w:eastAsia="宋体" w:cs="仿宋"/>
                <w:sz w:val="20"/>
                <w:szCs w:val="20"/>
              </w:rPr>
            </w:pPr>
          </w:p>
        </w:tc>
        <w:tc>
          <w:tcPr>
            <w:tcW w:w="628" w:type="dxa"/>
            <w:shd w:val="clear" w:color="auto" w:fill="auto"/>
            <w:vAlign w:val="center"/>
          </w:tcPr>
          <w:p w14:paraId="42E91F8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84 </w:t>
            </w:r>
          </w:p>
        </w:tc>
        <w:tc>
          <w:tcPr>
            <w:tcW w:w="1379" w:type="dxa"/>
            <w:shd w:val="clear" w:color="auto" w:fill="auto"/>
            <w:vAlign w:val="center"/>
          </w:tcPr>
          <w:p w14:paraId="6C83698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74520C7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277C331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CPU 核重启隔离</w:t>
            </w:r>
          </w:p>
        </w:tc>
        <w:tc>
          <w:tcPr>
            <w:tcW w:w="3548" w:type="dxa"/>
            <w:shd w:val="clear" w:color="auto" w:fill="auto"/>
            <w:vAlign w:val="center"/>
          </w:tcPr>
          <w:p w14:paraId="0A92C7E4">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36B7D24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1EC7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83E4B48">
            <w:pPr>
              <w:jc w:val="center"/>
              <w:rPr>
                <w:rFonts w:ascii="宋体" w:hAnsi="宋体" w:eastAsia="宋体" w:cs="仿宋"/>
                <w:sz w:val="20"/>
                <w:szCs w:val="20"/>
              </w:rPr>
            </w:pPr>
          </w:p>
        </w:tc>
        <w:tc>
          <w:tcPr>
            <w:tcW w:w="628" w:type="dxa"/>
            <w:shd w:val="clear" w:color="auto" w:fill="auto"/>
            <w:vAlign w:val="center"/>
          </w:tcPr>
          <w:p w14:paraId="4ABC442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85 </w:t>
            </w:r>
          </w:p>
        </w:tc>
        <w:tc>
          <w:tcPr>
            <w:tcW w:w="1379" w:type="dxa"/>
            <w:shd w:val="clear" w:color="auto" w:fill="auto"/>
            <w:vAlign w:val="center"/>
          </w:tcPr>
          <w:p w14:paraId="21B7845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7CD1A0A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6644F73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内存地址隔离</w:t>
            </w:r>
          </w:p>
        </w:tc>
        <w:tc>
          <w:tcPr>
            <w:tcW w:w="3548" w:type="dxa"/>
            <w:shd w:val="clear" w:color="auto" w:fill="auto"/>
            <w:vAlign w:val="center"/>
          </w:tcPr>
          <w:p w14:paraId="51996703">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1E74222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0180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735FC66">
            <w:pPr>
              <w:jc w:val="center"/>
              <w:rPr>
                <w:rFonts w:ascii="宋体" w:hAnsi="宋体" w:eastAsia="宋体" w:cs="仿宋"/>
                <w:sz w:val="20"/>
                <w:szCs w:val="20"/>
              </w:rPr>
            </w:pPr>
          </w:p>
        </w:tc>
        <w:tc>
          <w:tcPr>
            <w:tcW w:w="628" w:type="dxa"/>
            <w:shd w:val="clear" w:color="auto" w:fill="auto"/>
            <w:vAlign w:val="center"/>
          </w:tcPr>
          <w:p w14:paraId="6764826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86 </w:t>
            </w:r>
          </w:p>
        </w:tc>
        <w:tc>
          <w:tcPr>
            <w:tcW w:w="1379" w:type="dxa"/>
            <w:shd w:val="clear" w:color="auto" w:fill="auto"/>
            <w:vAlign w:val="center"/>
          </w:tcPr>
          <w:p w14:paraId="6DF87F7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1721448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2E4862C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内存存储阵列替换</w:t>
            </w:r>
          </w:p>
        </w:tc>
        <w:tc>
          <w:tcPr>
            <w:tcW w:w="3548" w:type="dxa"/>
            <w:shd w:val="clear" w:color="auto" w:fill="auto"/>
            <w:vAlign w:val="center"/>
          </w:tcPr>
          <w:p w14:paraId="42EF4707">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4AF0F64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38BB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9930D26">
            <w:pPr>
              <w:jc w:val="center"/>
              <w:rPr>
                <w:rFonts w:ascii="宋体" w:hAnsi="宋体" w:eastAsia="宋体" w:cs="仿宋"/>
                <w:sz w:val="20"/>
                <w:szCs w:val="20"/>
              </w:rPr>
            </w:pPr>
          </w:p>
        </w:tc>
        <w:tc>
          <w:tcPr>
            <w:tcW w:w="628" w:type="dxa"/>
            <w:shd w:val="clear" w:color="auto" w:fill="auto"/>
            <w:vAlign w:val="center"/>
          </w:tcPr>
          <w:p w14:paraId="7125B45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87 </w:t>
            </w:r>
          </w:p>
        </w:tc>
        <w:tc>
          <w:tcPr>
            <w:tcW w:w="1379" w:type="dxa"/>
            <w:shd w:val="clear" w:color="auto" w:fill="auto"/>
            <w:vAlign w:val="center"/>
          </w:tcPr>
          <w:p w14:paraId="051672F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5CC9D62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140AE8B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安全启动</w:t>
            </w:r>
          </w:p>
        </w:tc>
        <w:tc>
          <w:tcPr>
            <w:tcW w:w="3548" w:type="dxa"/>
            <w:shd w:val="clear" w:color="auto" w:fill="auto"/>
            <w:vAlign w:val="center"/>
          </w:tcPr>
          <w:p w14:paraId="55B46B54">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0CB73E4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60E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391B197">
            <w:pPr>
              <w:jc w:val="center"/>
              <w:rPr>
                <w:rFonts w:ascii="宋体" w:hAnsi="宋体" w:eastAsia="宋体" w:cs="仿宋"/>
                <w:sz w:val="20"/>
                <w:szCs w:val="20"/>
              </w:rPr>
            </w:pPr>
          </w:p>
        </w:tc>
        <w:tc>
          <w:tcPr>
            <w:tcW w:w="628" w:type="dxa"/>
            <w:shd w:val="clear" w:color="auto" w:fill="auto"/>
            <w:vAlign w:val="center"/>
          </w:tcPr>
          <w:p w14:paraId="25E8EE7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88 </w:t>
            </w:r>
          </w:p>
        </w:tc>
        <w:tc>
          <w:tcPr>
            <w:tcW w:w="1379" w:type="dxa"/>
            <w:shd w:val="clear" w:color="auto" w:fill="auto"/>
            <w:vAlign w:val="center"/>
          </w:tcPr>
          <w:p w14:paraId="520CE1F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050BA48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*系统安全要求</w:t>
            </w:r>
          </w:p>
        </w:tc>
        <w:tc>
          <w:tcPr>
            <w:tcW w:w="1343" w:type="dxa"/>
            <w:shd w:val="clear" w:color="auto" w:fill="auto"/>
            <w:vAlign w:val="center"/>
          </w:tcPr>
          <w:p w14:paraId="087FF7E6">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syslog 双向鉴别</w:t>
            </w:r>
          </w:p>
        </w:tc>
        <w:tc>
          <w:tcPr>
            <w:tcW w:w="3548" w:type="dxa"/>
            <w:shd w:val="clear" w:color="auto" w:fill="auto"/>
            <w:vAlign w:val="center"/>
          </w:tcPr>
          <w:p w14:paraId="6D371DF9">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501A4D9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4DAB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04A13E8">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441D025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89 </w:t>
            </w:r>
          </w:p>
        </w:tc>
        <w:tc>
          <w:tcPr>
            <w:tcW w:w="1379" w:type="dxa"/>
            <w:shd w:val="clear" w:color="auto" w:fill="auto"/>
            <w:vAlign w:val="center"/>
          </w:tcPr>
          <w:p w14:paraId="19E1308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0C92134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*系统安全要求</w:t>
            </w:r>
          </w:p>
        </w:tc>
        <w:tc>
          <w:tcPr>
            <w:tcW w:w="1343" w:type="dxa"/>
            <w:shd w:val="clear" w:color="auto" w:fill="auto"/>
            <w:vAlign w:val="center"/>
          </w:tcPr>
          <w:p w14:paraId="3D88BA9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*弱口令字典检查</w:t>
            </w:r>
          </w:p>
        </w:tc>
        <w:tc>
          <w:tcPr>
            <w:tcW w:w="3548" w:type="dxa"/>
            <w:shd w:val="clear" w:color="auto" w:fill="auto"/>
            <w:vAlign w:val="center"/>
          </w:tcPr>
          <w:p w14:paraId="206F8445">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支持弱口令字典检查功能，出现在弱口令字典中的字符串不能被设置为用户口令</w:t>
            </w:r>
          </w:p>
        </w:tc>
        <w:tc>
          <w:tcPr>
            <w:tcW w:w="1293" w:type="dxa"/>
            <w:shd w:val="clear" w:color="auto" w:fill="auto"/>
            <w:vAlign w:val="center"/>
          </w:tcPr>
          <w:p w14:paraId="16F970E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73AC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0E41ABB">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C2EB24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90 </w:t>
            </w:r>
          </w:p>
        </w:tc>
        <w:tc>
          <w:tcPr>
            <w:tcW w:w="1379" w:type="dxa"/>
            <w:shd w:val="clear" w:color="auto" w:fill="auto"/>
            <w:vAlign w:val="center"/>
          </w:tcPr>
          <w:p w14:paraId="4D4C2A8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26AD2C4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*系统安全要求</w:t>
            </w:r>
          </w:p>
        </w:tc>
        <w:tc>
          <w:tcPr>
            <w:tcW w:w="1343" w:type="dxa"/>
            <w:shd w:val="clear" w:color="auto" w:fill="auto"/>
            <w:vAlign w:val="center"/>
          </w:tcPr>
          <w:p w14:paraId="1E86392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*白名单访问控制</w:t>
            </w:r>
          </w:p>
        </w:tc>
        <w:tc>
          <w:tcPr>
            <w:tcW w:w="3548" w:type="dxa"/>
            <w:shd w:val="clear" w:color="auto" w:fill="auto"/>
            <w:vAlign w:val="center"/>
          </w:tcPr>
          <w:p w14:paraId="0B962D72">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支持基于时间、IP 或 MAC 白名单访问控制</w:t>
            </w:r>
          </w:p>
        </w:tc>
        <w:tc>
          <w:tcPr>
            <w:tcW w:w="1293" w:type="dxa"/>
            <w:shd w:val="clear" w:color="auto" w:fill="auto"/>
            <w:vAlign w:val="center"/>
          </w:tcPr>
          <w:p w14:paraId="07C9FD3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20B3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9E765C9">
            <w:pPr>
              <w:jc w:val="center"/>
              <w:rPr>
                <w:rFonts w:ascii="宋体" w:hAnsi="宋体" w:eastAsia="宋体" w:cs="仿宋"/>
                <w:sz w:val="20"/>
                <w:szCs w:val="20"/>
              </w:rPr>
            </w:pPr>
          </w:p>
        </w:tc>
        <w:tc>
          <w:tcPr>
            <w:tcW w:w="628" w:type="dxa"/>
            <w:shd w:val="clear" w:color="auto" w:fill="auto"/>
            <w:vAlign w:val="center"/>
          </w:tcPr>
          <w:p w14:paraId="0F672CF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91 </w:t>
            </w:r>
          </w:p>
        </w:tc>
        <w:tc>
          <w:tcPr>
            <w:tcW w:w="1379" w:type="dxa"/>
            <w:shd w:val="clear" w:color="auto" w:fill="auto"/>
            <w:vAlign w:val="center"/>
          </w:tcPr>
          <w:p w14:paraId="5874CDE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72C8EFE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*系统安全要求</w:t>
            </w:r>
          </w:p>
        </w:tc>
        <w:tc>
          <w:tcPr>
            <w:tcW w:w="1343" w:type="dxa"/>
            <w:shd w:val="clear" w:color="auto" w:fill="auto"/>
            <w:vAlign w:val="center"/>
          </w:tcPr>
          <w:p w14:paraId="182C791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双因素鉴别</w:t>
            </w:r>
          </w:p>
        </w:tc>
        <w:tc>
          <w:tcPr>
            <w:tcW w:w="3548" w:type="dxa"/>
            <w:shd w:val="clear" w:color="auto" w:fill="auto"/>
            <w:vAlign w:val="center"/>
          </w:tcPr>
          <w:p w14:paraId="686647C6">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0960F3F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39EA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85670F2">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06A548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92 </w:t>
            </w:r>
          </w:p>
        </w:tc>
        <w:tc>
          <w:tcPr>
            <w:tcW w:w="1379" w:type="dxa"/>
            <w:shd w:val="clear" w:color="auto" w:fill="auto"/>
            <w:vAlign w:val="center"/>
          </w:tcPr>
          <w:p w14:paraId="49D84D5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07B935A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*系统安全要求</w:t>
            </w:r>
          </w:p>
        </w:tc>
        <w:tc>
          <w:tcPr>
            <w:tcW w:w="1343" w:type="dxa"/>
            <w:shd w:val="clear" w:color="auto" w:fill="auto"/>
            <w:vAlign w:val="center"/>
          </w:tcPr>
          <w:p w14:paraId="62458A2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*二次鉴别</w:t>
            </w:r>
          </w:p>
        </w:tc>
        <w:tc>
          <w:tcPr>
            <w:tcW w:w="3548" w:type="dxa"/>
            <w:shd w:val="clear" w:color="auto" w:fill="auto"/>
            <w:vAlign w:val="center"/>
          </w:tcPr>
          <w:p w14:paraId="3D36B7C3">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支持二次鉴别功能。对于用户配置、权限配置、公钥导入等重要的管理操作，已登录用户应通过二次鉴别后，才能执行操作</w:t>
            </w:r>
          </w:p>
        </w:tc>
        <w:tc>
          <w:tcPr>
            <w:tcW w:w="1293" w:type="dxa"/>
            <w:shd w:val="clear" w:color="auto" w:fill="auto"/>
            <w:vAlign w:val="center"/>
          </w:tcPr>
          <w:p w14:paraId="267395E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2D6F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CFE2858">
            <w:pPr>
              <w:jc w:val="center"/>
              <w:rPr>
                <w:rFonts w:ascii="宋体" w:hAnsi="宋体" w:eastAsia="宋体" w:cs="仿宋"/>
                <w:sz w:val="20"/>
                <w:szCs w:val="20"/>
              </w:rPr>
            </w:pPr>
          </w:p>
        </w:tc>
        <w:tc>
          <w:tcPr>
            <w:tcW w:w="628" w:type="dxa"/>
            <w:shd w:val="clear" w:color="auto" w:fill="auto"/>
            <w:vAlign w:val="center"/>
          </w:tcPr>
          <w:p w14:paraId="7C1ABC7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93 </w:t>
            </w:r>
          </w:p>
        </w:tc>
        <w:tc>
          <w:tcPr>
            <w:tcW w:w="1379" w:type="dxa"/>
            <w:shd w:val="clear" w:color="auto" w:fill="auto"/>
            <w:vAlign w:val="center"/>
          </w:tcPr>
          <w:p w14:paraId="5F06586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381D1B3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*系统安全要求</w:t>
            </w:r>
          </w:p>
        </w:tc>
        <w:tc>
          <w:tcPr>
            <w:tcW w:w="1343" w:type="dxa"/>
            <w:shd w:val="clear" w:color="auto" w:fill="auto"/>
            <w:vAlign w:val="center"/>
          </w:tcPr>
          <w:p w14:paraId="2CD1D474">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匿名化用户告警接收邮箱</w:t>
            </w:r>
          </w:p>
        </w:tc>
        <w:tc>
          <w:tcPr>
            <w:tcW w:w="3548" w:type="dxa"/>
            <w:shd w:val="clear" w:color="auto" w:fill="auto"/>
            <w:vAlign w:val="center"/>
          </w:tcPr>
          <w:p w14:paraId="472A4A8C">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3133510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13C1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73968E5">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4C7A3B6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94 </w:t>
            </w:r>
          </w:p>
        </w:tc>
        <w:tc>
          <w:tcPr>
            <w:tcW w:w="1379" w:type="dxa"/>
            <w:shd w:val="clear" w:color="auto" w:fill="auto"/>
            <w:vAlign w:val="center"/>
          </w:tcPr>
          <w:p w14:paraId="2A7202A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30C23AE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*系统安全要求</w:t>
            </w:r>
          </w:p>
        </w:tc>
        <w:tc>
          <w:tcPr>
            <w:tcW w:w="1343" w:type="dxa"/>
            <w:shd w:val="clear" w:color="auto" w:fill="auto"/>
            <w:vAlign w:val="center"/>
          </w:tcPr>
          <w:p w14:paraId="3C2723CD">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*密码证书安全加密存储</w:t>
            </w:r>
          </w:p>
        </w:tc>
        <w:tc>
          <w:tcPr>
            <w:tcW w:w="3548" w:type="dxa"/>
            <w:shd w:val="clear" w:color="auto" w:fill="auto"/>
            <w:vAlign w:val="center"/>
          </w:tcPr>
          <w:p w14:paraId="50406ABF">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支持对带外管理系统中的用户口令和证书等敏感信息进行加密存储，禁止使用私有的和业界已知不安全的密码算法</w:t>
            </w:r>
          </w:p>
        </w:tc>
        <w:tc>
          <w:tcPr>
            <w:tcW w:w="1293" w:type="dxa"/>
            <w:shd w:val="clear" w:color="auto" w:fill="auto"/>
            <w:vAlign w:val="center"/>
          </w:tcPr>
          <w:p w14:paraId="69CD1D8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30D12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69DB37E">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6285EA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95 </w:t>
            </w:r>
          </w:p>
        </w:tc>
        <w:tc>
          <w:tcPr>
            <w:tcW w:w="1379" w:type="dxa"/>
            <w:shd w:val="clear" w:color="auto" w:fill="auto"/>
            <w:vAlign w:val="center"/>
          </w:tcPr>
          <w:p w14:paraId="2056ECB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0D825F0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*系统安全要求</w:t>
            </w:r>
          </w:p>
        </w:tc>
        <w:tc>
          <w:tcPr>
            <w:tcW w:w="1343" w:type="dxa"/>
            <w:shd w:val="clear" w:color="auto" w:fill="auto"/>
            <w:vAlign w:val="center"/>
          </w:tcPr>
          <w:p w14:paraId="4D9DC624">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*敏感信息安全加密传输</w:t>
            </w:r>
          </w:p>
        </w:tc>
        <w:tc>
          <w:tcPr>
            <w:tcW w:w="3548" w:type="dxa"/>
            <w:shd w:val="clear" w:color="auto" w:fill="auto"/>
            <w:vAlign w:val="center"/>
          </w:tcPr>
          <w:p w14:paraId="72FB0F9A">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支持使用安全的传输加密协议（如SSH 或 HTTPS 等）传输用户的敏感信息</w:t>
            </w:r>
          </w:p>
        </w:tc>
        <w:tc>
          <w:tcPr>
            <w:tcW w:w="1293" w:type="dxa"/>
            <w:shd w:val="clear" w:color="auto" w:fill="auto"/>
            <w:vAlign w:val="center"/>
          </w:tcPr>
          <w:p w14:paraId="41CACED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4DFD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2482399">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090EECE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96 </w:t>
            </w:r>
          </w:p>
        </w:tc>
        <w:tc>
          <w:tcPr>
            <w:tcW w:w="1379" w:type="dxa"/>
            <w:shd w:val="clear" w:color="auto" w:fill="auto"/>
            <w:vAlign w:val="center"/>
          </w:tcPr>
          <w:p w14:paraId="72692AD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6A623F8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*信息安全要求</w:t>
            </w:r>
          </w:p>
        </w:tc>
        <w:tc>
          <w:tcPr>
            <w:tcW w:w="1343" w:type="dxa"/>
            <w:shd w:val="clear" w:color="auto" w:fill="auto"/>
            <w:vAlign w:val="center"/>
          </w:tcPr>
          <w:p w14:paraId="7D62A0E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*研发过程安全</w:t>
            </w:r>
          </w:p>
        </w:tc>
        <w:tc>
          <w:tcPr>
            <w:tcW w:w="3548" w:type="dxa"/>
            <w:shd w:val="clear" w:color="auto" w:fill="auto"/>
            <w:vAlign w:val="center"/>
          </w:tcPr>
          <w:p w14:paraId="58242D6E">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1293" w:type="dxa"/>
            <w:shd w:val="clear" w:color="auto" w:fill="auto"/>
            <w:vAlign w:val="center"/>
          </w:tcPr>
          <w:p w14:paraId="6B8435D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20EA7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50E9E8D">
            <w:pPr>
              <w:jc w:val="center"/>
              <w:rPr>
                <w:rFonts w:ascii="宋体" w:hAnsi="宋体" w:eastAsia="宋体" w:cs="仿宋"/>
                <w:sz w:val="20"/>
                <w:szCs w:val="20"/>
              </w:rPr>
            </w:pPr>
          </w:p>
        </w:tc>
        <w:tc>
          <w:tcPr>
            <w:tcW w:w="628" w:type="dxa"/>
            <w:shd w:val="clear" w:color="auto" w:fill="auto"/>
            <w:vAlign w:val="center"/>
          </w:tcPr>
          <w:p w14:paraId="4461FD1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97 </w:t>
            </w:r>
          </w:p>
        </w:tc>
        <w:tc>
          <w:tcPr>
            <w:tcW w:w="1379" w:type="dxa"/>
            <w:shd w:val="clear" w:color="auto" w:fill="auto"/>
            <w:vAlign w:val="center"/>
          </w:tcPr>
          <w:p w14:paraId="0340DBF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0F84F74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*信息安全要求</w:t>
            </w:r>
          </w:p>
        </w:tc>
        <w:tc>
          <w:tcPr>
            <w:tcW w:w="1343" w:type="dxa"/>
            <w:shd w:val="clear" w:color="auto" w:fill="auto"/>
            <w:vAlign w:val="center"/>
          </w:tcPr>
          <w:p w14:paraId="7B10CDC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漏洞管理</w:t>
            </w:r>
          </w:p>
        </w:tc>
        <w:tc>
          <w:tcPr>
            <w:tcW w:w="3548" w:type="dxa"/>
            <w:shd w:val="clear" w:color="auto" w:fill="auto"/>
            <w:vAlign w:val="center"/>
          </w:tcPr>
          <w:p w14:paraId="7A5FBDBD">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6FC79C3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381A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70E3AC8">
            <w:pPr>
              <w:jc w:val="center"/>
              <w:rPr>
                <w:rFonts w:ascii="宋体" w:hAnsi="宋体" w:eastAsia="宋体" w:cs="仿宋"/>
                <w:sz w:val="20"/>
                <w:szCs w:val="20"/>
              </w:rPr>
            </w:pPr>
          </w:p>
        </w:tc>
        <w:tc>
          <w:tcPr>
            <w:tcW w:w="628" w:type="dxa"/>
            <w:shd w:val="clear" w:color="auto" w:fill="auto"/>
            <w:vAlign w:val="center"/>
          </w:tcPr>
          <w:p w14:paraId="6601B7A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98 </w:t>
            </w:r>
          </w:p>
        </w:tc>
        <w:tc>
          <w:tcPr>
            <w:tcW w:w="1379" w:type="dxa"/>
            <w:shd w:val="clear" w:color="auto" w:fill="auto"/>
            <w:vAlign w:val="center"/>
          </w:tcPr>
          <w:p w14:paraId="03EFE26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42644FF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*信息安全要求</w:t>
            </w:r>
          </w:p>
        </w:tc>
        <w:tc>
          <w:tcPr>
            <w:tcW w:w="1343" w:type="dxa"/>
            <w:shd w:val="clear" w:color="auto" w:fill="auto"/>
            <w:vAlign w:val="center"/>
          </w:tcPr>
          <w:p w14:paraId="1567BAA6">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网络关键设备服务器要求</w:t>
            </w:r>
          </w:p>
        </w:tc>
        <w:tc>
          <w:tcPr>
            <w:tcW w:w="3548" w:type="dxa"/>
            <w:shd w:val="clear" w:color="auto" w:fill="auto"/>
            <w:vAlign w:val="center"/>
          </w:tcPr>
          <w:p w14:paraId="67E48DC4">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5C047AE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484AA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1BB822B">
            <w:pPr>
              <w:jc w:val="center"/>
              <w:rPr>
                <w:rFonts w:ascii="宋体" w:hAnsi="宋体" w:eastAsia="宋体" w:cs="仿宋"/>
                <w:sz w:val="20"/>
                <w:szCs w:val="20"/>
              </w:rPr>
            </w:pPr>
          </w:p>
        </w:tc>
        <w:tc>
          <w:tcPr>
            <w:tcW w:w="628" w:type="dxa"/>
            <w:shd w:val="clear" w:color="auto" w:fill="auto"/>
            <w:vAlign w:val="center"/>
          </w:tcPr>
          <w:p w14:paraId="2E19672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99 </w:t>
            </w:r>
          </w:p>
        </w:tc>
        <w:tc>
          <w:tcPr>
            <w:tcW w:w="1379" w:type="dxa"/>
            <w:shd w:val="clear" w:color="auto" w:fill="auto"/>
            <w:vAlign w:val="center"/>
          </w:tcPr>
          <w:p w14:paraId="107AA4C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7DBA9A2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*信息安全要求</w:t>
            </w:r>
          </w:p>
        </w:tc>
        <w:tc>
          <w:tcPr>
            <w:tcW w:w="1343" w:type="dxa"/>
            <w:shd w:val="clear" w:color="auto" w:fill="auto"/>
            <w:vAlign w:val="center"/>
          </w:tcPr>
          <w:p w14:paraId="7CF3074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增强要求</w:t>
            </w:r>
          </w:p>
        </w:tc>
        <w:tc>
          <w:tcPr>
            <w:tcW w:w="3548" w:type="dxa"/>
            <w:shd w:val="clear" w:color="auto" w:fill="auto"/>
            <w:vAlign w:val="center"/>
          </w:tcPr>
          <w:p w14:paraId="6E72B338">
            <w:pPr>
              <w:keepNext w:val="0"/>
              <w:keepLines w:val="0"/>
              <w:widowControl/>
              <w:suppressLineNumbers w:val="0"/>
              <w:jc w:val="left"/>
              <w:textAlignment w:val="center"/>
              <w:rPr>
                <w:rFonts w:ascii="宋体" w:hAnsi="宋体" w:eastAsia="宋体" w:cs="仿宋"/>
                <w:kern w:val="0"/>
                <w:sz w:val="20"/>
                <w:szCs w:val="20"/>
                <w:lang w:val="en-US" w:eastAsia="zh-CN" w:bidi="ar"/>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699CD106">
            <w:pPr>
              <w:keepNext w:val="0"/>
              <w:keepLines w:val="0"/>
              <w:widowControl/>
              <w:suppressLineNumbers w:val="0"/>
              <w:jc w:val="center"/>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r>
      <w:tr w14:paraId="6FA53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13CA806">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4000C47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100 </w:t>
            </w:r>
          </w:p>
        </w:tc>
        <w:tc>
          <w:tcPr>
            <w:tcW w:w="1379" w:type="dxa"/>
            <w:shd w:val="clear" w:color="auto" w:fill="auto"/>
            <w:vAlign w:val="center"/>
          </w:tcPr>
          <w:p w14:paraId="1EA85B5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7FB3D01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*物理安全</w:t>
            </w:r>
          </w:p>
        </w:tc>
        <w:tc>
          <w:tcPr>
            <w:tcW w:w="1343" w:type="dxa"/>
            <w:shd w:val="clear" w:color="auto" w:fill="auto"/>
            <w:vAlign w:val="center"/>
          </w:tcPr>
          <w:p w14:paraId="007D40E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*物理安全</w:t>
            </w:r>
          </w:p>
        </w:tc>
        <w:tc>
          <w:tcPr>
            <w:tcW w:w="3548" w:type="dxa"/>
            <w:shd w:val="clear" w:color="auto" w:fill="auto"/>
            <w:vAlign w:val="center"/>
          </w:tcPr>
          <w:p w14:paraId="5FD4F1F5">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安全要求应符合 GB 4943.1 的规定</w:t>
            </w:r>
          </w:p>
        </w:tc>
        <w:tc>
          <w:tcPr>
            <w:tcW w:w="1293" w:type="dxa"/>
            <w:shd w:val="clear" w:color="auto" w:fill="auto"/>
            <w:vAlign w:val="center"/>
          </w:tcPr>
          <w:p w14:paraId="07D5F10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30AC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96C336A">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659BFE1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101 </w:t>
            </w:r>
          </w:p>
        </w:tc>
        <w:tc>
          <w:tcPr>
            <w:tcW w:w="1379" w:type="dxa"/>
            <w:shd w:val="clear" w:color="auto" w:fill="auto"/>
            <w:vAlign w:val="center"/>
          </w:tcPr>
          <w:p w14:paraId="56F5EB5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384D898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*限用物质的限量要求</w:t>
            </w:r>
          </w:p>
        </w:tc>
        <w:tc>
          <w:tcPr>
            <w:tcW w:w="1343" w:type="dxa"/>
            <w:shd w:val="clear" w:color="auto" w:fill="auto"/>
            <w:vAlign w:val="center"/>
          </w:tcPr>
          <w:p w14:paraId="6FFE3C8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*限用物质的限量要求</w:t>
            </w:r>
          </w:p>
        </w:tc>
        <w:tc>
          <w:tcPr>
            <w:tcW w:w="3548" w:type="dxa"/>
            <w:shd w:val="clear" w:color="auto" w:fill="auto"/>
            <w:vAlign w:val="center"/>
          </w:tcPr>
          <w:p w14:paraId="5D1A2E8B">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限用物质的限量应符合GB/T 26572的要求</w:t>
            </w:r>
          </w:p>
        </w:tc>
        <w:tc>
          <w:tcPr>
            <w:tcW w:w="1293" w:type="dxa"/>
            <w:shd w:val="clear" w:color="auto" w:fill="auto"/>
            <w:vAlign w:val="center"/>
          </w:tcPr>
          <w:p w14:paraId="602461D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3CE1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47DD12C">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5F75970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102 </w:t>
            </w:r>
          </w:p>
        </w:tc>
        <w:tc>
          <w:tcPr>
            <w:tcW w:w="1379" w:type="dxa"/>
            <w:shd w:val="clear" w:color="auto" w:fill="auto"/>
            <w:vAlign w:val="center"/>
          </w:tcPr>
          <w:p w14:paraId="41C917B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性能要求</w:t>
            </w:r>
          </w:p>
        </w:tc>
        <w:tc>
          <w:tcPr>
            <w:tcW w:w="832" w:type="dxa"/>
            <w:shd w:val="clear" w:color="auto" w:fill="auto"/>
            <w:vAlign w:val="center"/>
          </w:tcPr>
          <w:p w14:paraId="62B60D4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*CPU性能</w:t>
            </w:r>
          </w:p>
        </w:tc>
        <w:tc>
          <w:tcPr>
            <w:tcW w:w="1343" w:type="dxa"/>
            <w:shd w:val="clear" w:color="auto" w:fill="auto"/>
            <w:vAlign w:val="center"/>
          </w:tcPr>
          <w:p w14:paraId="4CA5646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*CPU 主频</w:t>
            </w:r>
          </w:p>
        </w:tc>
        <w:tc>
          <w:tcPr>
            <w:tcW w:w="3548" w:type="dxa"/>
            <w:shd w:val="clear" w:color="auto" w:fill="auto"/>
            <w:vAlign w:val="center"/>
          </w:tcPr>
          <w:p w14:paraId="6A71264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≥2.6GHz</w:t>
            </w:r>
          </w:p>
        </w:tc>
        <w:tc>
          <w:tcPr>
            <w:tcW w:w="1293" w:type="dxa"/>
            <w:shd w:val="clear" w:color="auto" w:fill="auto"/>
            <w:vAlign w:val="center"/>
          </w:tcPr>
          <w:p w14:paraId="3F1B7CB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33863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468C06E">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766404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103 </w:t>
            </w:r>
          </w:p>
        </w:tc>
        <w:tc>
          <w:tcPr>
            <w:tcW w:w="1379" w:type="dxa"/>
            <w:shd w:val="clear" w:color="auto" w:fill="auto"/>
            <w:vAlign w:val="center"/>
          </w:tcPr>
          <w:p w14:paraId="27259E2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性能要求</w:t>
            </w:r>
          </w:p>
        </w:tc>
        <w:tc>
          <w:tcPr>
            <w:tcW w:w="832" w:type="dxa"/>
            <w:shd w:val="clear" w:color="auto" w:fill="auto"/>
            <w:vAlign w:val="center"/>
          </w:tcPr>
          <w:p w14:paraId="58A7BDF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*CPU性能</w:t>
            </w:r>
          </w:p>
        </w:tc>
        <w:tc>
          <w:tcPr>
            <w:tcW w:w="1343" w:type="dxa"/>
            <w:shd w:val="clear" w:color="auto" w:fill="auto"/>
            <w:vAlign w:val="center"/>
          </w:tcPr>
          <w:p w14:paraId="00C4F35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*单 CPU 核数</w:t>
            </w:r>
          </w:p>
        </w:tc>
        <w:tc>
          <w:tcPr>
            <w:tcW w:w="3548" w:type="dxa"/>
            <w:shd w:val="clear" w:color="auto" w:fill="auto"/>
            <w:vAlign w:val="center"/>
          </w:tcPr>
          <w:p w14:paraId="555A8A6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≥28</w:t>
            </w:r>
          </w:p>
        </w:tc>
        <w:tc>
          <w:tcPr>
            <w:tcW w:w="1293" w:type="dxa"/>
            <w:shd w:val="clear" w:color="auto" w:fill="auto"/>
            <w:vAlign w:val="center"/>
          </w:tcPr>
          <w:p w14:paraId="26DB976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3502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3B4C4DD">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03D8BED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104 </w:t>
            </w:r>
          </w:p>
        </w:tc>
        <w:tc>
          <w:tcPr>
            <w:tcW w:w="1379" w:type="dxa"/>
            <w:shd w:val="clear" w:color="auto" w:fill="auto"/>
            <w:vAlign w:val="center"/>
          </w:tcPr>
          <w:p w14:paraId="417DE5B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性能要求</w:t>
            </w:r>
          </w:p>
        </w:tc>
        <w:tc>
          <w:tcPr>
            <w:tcW w:w="832" w:type="dxa"/>
            <w:shd w:val="clear" w:color="auto" w:fill="auto"/>
            <w:vAlign w:val="center"/>
          </w:tcPr>
          <w:p w14:paraId="78CB15F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*CPU性能</w:t>
            </w:r>
          </w:p>
        </w:tc>
        <w:tc>
          <w:tcPr>
            <w:tcW w:w="1343" w:type="dxa"/>
            <w:shd w:val="clear" w:color="auto" w:fill="auto"/>
            <w:vAlign w:val="center"/>
          </w:tcPr>
          <w:p w14:paraId="654390AC">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*单 CPU 末级缓存容量</w:t>
            </w:r>
          </w:p>
        </w:tc>
        <w:tc>
          <w:tcPr>
            <w:tcW w:w="3548" w:type="dxa"/>
            <w:shd w:val="clear" w:color="auto" w:fill="auto"/>
            <w:vAlign w:val="center"/>
          </w:tcPr>
          <w:p w14:paraId="62E715B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≥42MB</w:t>
            </w:r>
          </w:p>
        </w:tc>
        <w:tc>
          <w:tcPr>
            <w:tcW w:w="1293" w:type="dxa"/>
            <w:shd w:val="clear" w:color="auto" w:fill="auto"/>
            <w:vAlign w:val="center"/>
          </w:tcPr>
          <w:p w14:paraId="7815985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80C6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ADD9DE2">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0A56926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105 </w:t>
            </w:r>
          </w:p>
        </w:tc>
        <w:tc>
          <w:tcPr>
            <w:tcW w:w="1379" w:type="dxa"/>
            <w:shd w:val="clear" w:color="auto" w:fill="auto"/>
            <w:vAlign w:val="center"/>
          </w:tcPr>
          <w:p w14:paraId="23F67C0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性能要求</w:t>
            </w:r>
          </w:p>
        </w:tc>
        <w:tc>
          <w:tcPr>
            <w:tcW w:w="832" w:type="dxa"/>
            <w:shd w:val="clear" w:color="auto" w:fill="auto"/>
            <w:vAlign w:val="center"/>
          </w:tcPr>
          <w:p w14:paraId="219217D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*内存性能</w:t>
            </w:r>
          </w:p>
        </w:tc>
        <w:tc>
          <w:tcPr>
            <w:tcW w:w="1343" w:type="dxa"/>
            <w:shd w:val="clear" w:color="auto" w:fill="auto"/>
            <w:vAlign w:val="center"/>
          </w:tcPr>
          <w:p w14:paraId="3F066A5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单内存模块容量</w:t>
            </w:r>
          </w:p>
        </w:tc>
        <w:tc>
          <w:tcPr>
            <w:tcW w:w="3548" w:type="dxa"/>
            <w:shd w:val="clear" w:color="auto" w:fill="auto"/>
            <w:vAlign w:val="center"/>
          </w:tcPr>
          <w:p w14:paraId="491B25A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≥64GB</w:t>
            </w:r>
          </w:p>
        </w:tc>
        <w:tc>
          <w:tcPr>
            <w:tcW w:w="1293" w:type="dxa"/>
            <w:shd w:val="clear" w:color="auto" w:fill="auto"/>
            <w:vAlign w:val="center"/>
          </w:tcPr>
          <w:p w14:paraId="3907FBF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72B0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A7CDE0A">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00F36EF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106 </w:t>
            </w:r>
          </w:p>
        </w:tc>
        <w:tc>
          <w:tcPr>
            <w:tcW w:w="1379" w:type="dxa"/>
            <w:shd w:val="clear" w:color="auto" w:fill="auto"/>
            <w:vAlign w:val="center"/>
          </w:tcPr>
          <w:p w14:paraId="75808B7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性能要求</w:t>
            </w:r>
          </w:p>
        </w:tc>
        <w:tc>
          <w:tcPr>
            <w:tcW w:w="832" w:type="dxa"/>
            <w:shd w:val="clear" w:color="auto" w:fill="auto"/>
            <w:vAlign w:val="center"/>
          </w:tcPr>
          <w:p w14:paraId="6BD4584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*内存性能</w:t>
            </w:r>
          </w:p>
        </w:tc>
        <w:tc>
          <w:tcPr>
            <w:tcW w:w="1343" w:type="dxa"/>
            <w:shd w:val="clear" w:color="auto" w:fill="auto"/>
            <w:vAlign w:val="center"/>
          </w:tcPr>
          <w:p w14:paraId="1B0CF01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*内存速率</w:t>
            </w:r>
          </w:p>
        </w:tc>
        <w:tc>
          <w:tcPr>
            <w:tcW w:w="3548" w:type="dxa"/>
            <w:shd w:val="clear" w:color="auto" w:fill="auto"/>
            <w:vAlign w:val="center"/>
          </w:tcPr>
          <w:p w14:paraId="6AA0CAE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≥3200MT/s</w:t>
            </w:r>
          </w:p>
        </w:tc>
        <w:tc>
          <w:tcPr>
            <w:tcW w:w="1293" w:type="dxa"/>
            <w:shd w:val="clear" w:color="auto" w:fill="auto"/>
            <w:vAlign w:val="center"/>
          </w:tcPr>
          <w:p w14:paraId="43202F2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226E2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20970A7">
            <w:pPr>
              <w:jc w:val="center"/>
              <w:rPr>
                <w:rFonts w:ascii="宋体" w:hAnsi="宋体" w:eastAsia="宋体" w:cs="仿宋"/>
                <w:sz w:val="20"/>
                <w:szCs w:val="20"/>
              </w:rPr>
            </w:pPr>
          </w:p>
        </w:tc>
        <w:tc>
          <w:tcPr>
            <w:tcW w:w="628" w:type="dxa"/>
            <w:shd w:val="clear" w:color="auto" w:fill="auto"/>
            <w:vAlign w:val="center"/>
          </w:tcPr>
          <w:p w14:paraId="7DD55A4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107 </w:t>
            </w:r>
          </w:p>
        </w:tc>
        <w:tc>
          <w:tcPr>
            <w:tcW w:w="1379" w:type="dxa"/>
            <w:shd w:val="clear" w:color="auto" w:fill="auto"/>
            <w:vAlign w:val="center"/>
          </w:tcPr>
          <w:p w14:paraId="2D33470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性能要求</w:t>
            </w:r>
          </w:p>
        </w:tc>
        <w:tc>
          <w:tcPr>
            <w:tcW w:w="832" w:type="dxa"/>
            <w:shd w:val="clear" w:color="auto" w:fill="auto"/>
            <w:vAlign w:val="center"/>
          </w:tcPr>
          <w:p w14:paraId="0C16649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存储性能</w:t>
            </w:r>
          </w:p>
        </w:tc>
        <w:tc>
          <w:tcPr>
            <w:tcW w:w="1343" w:type="dxa"/>
            <w:shd w:val="clear" w:color="auto" w:fill="auto"/>
            <w:vAlign w:val="center"/>
          </w:tcPr>
          <w:p w14:paraId="5911912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硬盘转速</w:t>
            </w:r>
          </w:p>
        </w:tc>
        <w:tc>
          <w:tcPr>
            <w:tcW w:w="3548" w:type="dxa"/>
            <w:shd w:val="clear" w:color="auto" w:fill="auto"/>
            <w:vAlign w:val="center"/>
          </w:tcPr>
          <w:p w14:paraId="1954569D">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75E57692">
            <w:pPr>
              <w:keepNext w:val="0"/>
              <w:keepLines w:val="0"/>
              <w:widowControl/>
              <w:suppressLineNumbers w:val="0"/>
              <w:jc w:val="center"/>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r>
      <w:tr w14:paraId="50250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B791DFF">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03246D4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108 </w:t>
            </w:r>
          </w:p>
        </w:tc>
        <w:tc>
          <w:tcPr>
            <w:tcW w:w="1379" w:type="dxa"/>
            <w:shd w:val="clear" w:color="auto" w:fill="auto"/>
            <w:vAlign w:val="center"/>
          </w:tcPr>
          <w:p w14:paraId="6C03634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性能要求</w:t>
            </w:r>
          </w:p>
        </w:tc>
        <w:tc>
          <w:tcPr>
            <w:tcW w:w="832" w:type="dxa"/>
            <w:shd w:val="clear" w:color="auto" w:fill="auto"/>
            <w:vAlign w:val="center"/>
          </w:tcPr>
          <w:p w14:paraId="7D1276A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RAID卡性能</w:t>
            </w:r>
          </w:p>
        </w:tc>
        <w:tc>
          <w:tcPr>
            <w:tcW w:w="1343" w:type="dxa"/>
            <w:shd w:val="clear" w:color="auto" w:fill="auto"/>
            <w:vAlign w:val="center"/>
          </w:tcPr>
          <w:p w14:paraId="4AD71A7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RAID 卡缓存容量大小</w:t>
            </w:r>
          </w:p>
        </w:tc>
        <w:tc>
          <w:tcPr>
            <w:tcW w:w="3548" w:type="dxa"/>
            <w:shd w:val="clear" w:color="auto" w:fill="auto"/>
            <w:vAlign w:val="center"/>
          </w:tcPr>
          <w:p w14:paraId="1AE497D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配备 RAID 卡且 RAID 卡有缓存容量，容量不少于 4GB</w:t>
            </w:r>
          </w:p>
        </w:tc>
        <w:tc>
          <w:tcPr>
            <w:tcW w:w="1293" w:type="dxa"/>
            <w:shd w:val="clear" w:color="auto" w:fill="auto"/>
            <w:vAlign w:val="center"/>
          </w:tcPr>
          <w:p w14:paraId="5B5C65F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313A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BF84948">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06BB244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109 </w:t>
            </w:r>
          </w:p>
        </w:tc>
        <w:tc>
          <w:tcPr>
            <w:tcW w:w="1379" w:type="dxa"/>
            <w:shd w:val="clear" w:color="auto" w:fill="auto"/>
            <w:vAlign w:val="center"/>
          </w:tcPr>
          <w:p w14:paraId="344E1F2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性能要求</w:t>
            </w:r>
          </w:p>
        </w:tc>
        <w:tc>
          <w:tcPr>
            <w:tcW w:w="832" w:type="dxa"/>
            <w:shd w:val="clear" w:color="auto" w:fill="auto"/>
            <w:vAlign w:val="top"/>
          </w:tcPr>
          <w:p w14:paraId="75232017">
            <w:pPr>
              <w:keepNext w:val="0"/>
              <w:keepLines w:val="0"/>
              <w:widowControl/>
              <w:suppressLineNumbers w:val="0"/>
              <w:jc w:val="center"/>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FC HBA卡性能</w:t>
            </w:r>
          </w:p>
        </w:tc>
        <w:tc>
          <w:tcPr>
            <w:tcW w:w="1343" w:type="dxa"/>
            <w:shd w:val="clear" w:color="auto" w:fill="auto"/>
            <w:vAlign w:val="center"/>
          </w:tcPr>
          <w:p w14:paraId="4643BDB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FC HBA 卡速率</w:t>
            </w:r>
          </w:p>
        </w:tc>
        <w:tc>
          <w:tcPr>
            <w:tcW w:w="3548" w:type="dxa"/>
            <w:shd w:val="clear" w:color="auto" w:fill="auto"/>
            <w:vAlign w:val="center"/>
          </w:tcPr>
          <w:p w14:paraId="155A222B">
            <w:pPr>
              <w:keepNext w:val="0"/>
              <w:keepLines w:val="0"/>
              <w:widowControl/>
              <w:suppressLineNumbers w:val="0"/>
              <w:jc w:val="left"/>
              <w:textAlignment w:val="center"/>
              <w:rPr>
                <w:rFonts w:ascii="宋体" w:hAnsi="宋体" w:eastAsia="宋体" w:cs="仿宋"/>
                <w:sz w:val="20"/>
                <w:szCs w:val="20"/>
                <w:highlight w:val="yellow"/>
              </w:rPr>
            </w:pPr>
            <w:r>
              <w:rPr>
                <w:rFonts w:hint="eastAsia" w:ascii="黑体" w:hAnsi="宋体" w:eastAsia="黑体" w:cs="黑体"/>
                <w:i w:val="0"/>
                <w:iCs w:val="0"/>
                <w:color w:val="000000"/>
                <w:kern w:val="0"/>
                <w:sz w:val="16"/>
                <w:szCs w:val="16"/>
                <w:u w:val="none"/>
                <w:lang w:val="en-US" w:eastAsia="zh-CN" w:bidi="ar"/>
              </w:rPr>
              <w:t>配备 FC HBA 卡，单端口最大的连接速率不少于32Gb/s</w:t>
            </w:r>
          </w:p>
        </w:tc>
        <w:tc>
          <w:tcPr>
            <w:tcW w:w="1293" w:type="dxa"/>
            <w:shd w:val="clear" w:color="auto" w:fill="auto"/>
            <w:vAlign w:val="center"/>
          </w:tcPr>
          <w:p w14:paraId="6B1E134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4C3CA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D74080D">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6ED8FB7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110 </w:t>
            </w:r>
          </w:p>
        </w:tc>
        <w:tc>
          <w:tcPr>
            <w:tcW w:w="1379" w:type="dxa"/>
            <w:shd w:val="clear" w:color="auto" w:fill="auto"/>
            <w:vAlign w:val="center"/>
          </w:tcPr>
          <w:p w14:paraId="7A7BE86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性能要求</w:t>
            </w:r>
          </w:p>
        </w:tc>
        <w:tc>
          <w:tcPr>
            <w:tcW w:w="832" w:type="dxa"/>
            <w:shd w:val="clear" w:color="auto" w:fill="auto"/>
            <w:vAlign w:val="center"/>
          </w:tcPr>
          <w:p w14:paraId="386F24F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网络性能</w:t>
            </w:r>
          </w:p>
        </w:tc>
        <w:tc>
          <w:tcPr>
            <w:tcW w:w="1343" w:type="dxa"/>
            <w:shd w:val="clear" w:color="auto" w:fill="auto"/>
            <w:vAlign w:val="center"/>
          </w:tcPr>
          <w:p w14:paraId="7F568F3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独立网卡速率</w:t>
            </w:r>
          </w:p>
        </w:tc>
        <w:tc>
          <w:tcPr>
            <w:tcW w:w="3548" w:type="dxa"/>
            <w:shd w:val="clear" w:color="auto" w:fill="auto"/>
            <w:vAlign w:val="center"/>
          </w:tcPr>
          <w:p w14:paraId="5AB8945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≥25GE</w:t>
            </w:r>
          </w:p>
        </w:tc>
        <w:tc>
          <w:tcPr>
            <w:tcW w:w="1293" w:type="dxa"/>
            <w:shd w:val="clear" w:color="auto" w:fill="auto"/>
            <w:vAlign w:val="center"/>
          </w:tcPr>
          <w:p w14:paraId="4393D9E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71CF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ECD48C3">
            <w:pPr>
              <w:jc w:val="center"/>
              <w:rPr>
                <w:rFonts w:ascii="宋体" w:hAnsi="宋体" w:eastAsia="宋体" w:cs="仿宋"/>
                <w:sz w:val="20"/>
                <w:szCs w:val="20"/>
              </w:rPr>
            </w:pPr>
          </w:p>
        </w:tc>
        <w:tc>
          <w:tcPr>
            <w:tcW w:w="628" w:type="dxa"/>
            <w:shd w:val="clear" w:color="auto" w:fill="auto"/>
            <w:vAlign w:val="center"/>
          </w:tcPr>
          <w:p w14:paraId="1878943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111 </w:t>
            </w:r>
          </w:p>
        </w:tc>
        <w:tc>
          <w:tcPr>
            <w:tcW w:w="1379" w:type="dxa"/>
            <w:shd w:val="clear" w:color="auto" w:fill="auto"/>
            <w:vAlign w:val="center"/>
          </w:tcPr>
          <w:p w14:paraId="081F0E1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性能要求</w:t>
            </w:r>
          </w:p>
        </w:tc>
        <w:tc>
          <w:tcPr>
            <w:tcW w:w="832" w:type="dxa"/>
            <w:shd w:val="clear" w:color="auto" w:fill="auto"/>
            <w:vAlign w:val="center"/>
          </w:tcPr>
          <w:p w14:paraId="6EE3DDE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网络性能</w:t>
            </w:r>
          </w:p>
        </w:tc>
        <w:tc>
          <w:tcPr>
            <w:tcW w:w="1343" w:type="dxa"/>
            <w:shd w:val="clear" w:color="auto" w:fill="auto"/>
            <w:vAlign w:val="center"/>
          </w:tcPr>
          <w:p w14:paraId="1DEA00C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板载网卡速率</w:t>
            </w:r>
          </w:p>
        </w:tc>
        <w:tc>
          <w:tcPr>
            <w:tcW w:w="3548" w:type="dxa"/>
            <w:shd w:val="clear" w:color="auto" w:fill="auto"/>
            <w:vAlign w:val="center"/>
          </w:tcPr>
          <w:p w14:paraId="5F45B89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2E4DDE7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AFFE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E69C986">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6DCC461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112 </w:t>
            </w:r>
          </w:p>
        </w:tc>
        <w:tc>
          <w:tcPr>
            <w:tcW w:w="1379" w:type="dxa"/>
            <w:shd w:val="clear" w:color="auto" w:fill="auto"/>
            <w:vAlign w:val="center"/>
          </w:tcPr>
          <w:p w14:paraId="318F96A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性能要求</w:t>
            </w:r>
          </w:p>
        </w:tc>
        <w:tc>
          <w:tcPr>
            <w:tcW w:w="832" w:type="dxa"/>
            <w:shd w:val="clear" w:color="auto" w:fill="auto"/>
            <w:vAlign w:val="center"/>
          </w:tcPr>
          <w:p w14:paraId="6B6D123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*电源能耗</w:t>
            </w:r>
          </w:p>
        </w:tc>
        <w:tc>
          <w:tcPr>
            <w:tcW w:w="1343" w:type="dxa"/>
            <w:shd w:val="clear" w:color="auto" w:fill="auto"/>
            <w:vAlign w:val="center"/>
          </w:tcPr>
          <w:p w14:paraId="743733E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*电源能耗</w:t>
            </w:r>
          </w:p>
        </w:tc>
        <w:tc>
          <w:tcPr>
            <w:tcW w:w="3548" w:type="dxa"/>
            <w:shd w:val="clear" w:color="auto" w:fill="auto"/>
            <w:vAlign w:val="center"/>
          </w:tcPr>
          <w:p w14:paraId="1B8E2515">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符合 GB/T 9813.3 的有关规定</w:t>
            </w:r>
          </w:p>
        </w:tc>
        <w:tc>
          <w:tcPr>
            <w:tcW w:w="1293" w:type="dxa"/>
            <w:shd w:val="clear" w:color="auto" w:fill="auto"/>
            <w:vAlign w:val="center"/>
          </w:tcPr>
          <w:p w14:paraId="1C293F1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C179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02897AE">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47E8E9C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113 </w:t>
            </w:r>
          </w:p>
        </w:tc>
        <w:tc>
          <w:tcPr>
            <w:tcW w:w="1379" w:type="dxa"/>
            <w:shd w:val="clear" w:color="auto" w:fill="auto"/>
            <w:vAlign w:val="center"/>
          </w:tcPr>
          <w:p w14:paraId="1E292B8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兼容要求</w:t>
            </w:r>
          </w:p>
        </w:tc>
        <w:tc>
          <w:tcPr>
            <w:tcW w:w="832" w:type="dxa"/>
            <w:shd w:val="clear" w:color="auto" w:fill="auto"/>
            <w:vAlign w:val="center"/>
          </w:tcPr>
          <w:p w14:paraId="1766292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*部件兼容性要求</w:t>
            </w:r>
          </w:p>
        </w:tc>
        <w:tc>
          <w:tcPr>
            <w:tcW w:w="1343" w:type="dxa"/>
            <w:shd w:val="clear" w:color="auto" w:fill="auto"/>
            <w:vAlign w:val="center"/>
          </w:tcPr>
          <w:p w14:paraId="7B2FE5D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*内存兼容性</w:t>
            </w:r>
          </w:p>
        </w:tc>
        <w:tc>
          <w:tcPr>
            <w:tcW w:w="3548" w:type="dxa"/>
            <w:shd w:val="clear" w:color="auto" w:fill="auto"/>
            <w:vAlign w:val="center"/>
          </w:tcPr>
          <w:p w14:paraId="21A6D3B0">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适配 3 种及以上厂商的内存产品，且均不低于产品支持的内存规格</w:t>
            </w:r>
          </w:p>
        </w:tc>
        <w:tc>
          <w:tcPr>
            <w:tcW w:w="1293" w:type="dxa"/>
            <w:shd w:val="clear" w:color="auto" w:fill="auto"/>
            <w:vAlign w:val="center"/>
          </w:tcPr>
          <w:p w14:paraId="5C976DD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46A3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37EC976">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0D901C5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114 </w:t>
            </w:r>
          </w:p>
        </w:tc>
        <w:tc>
          <w:tcPr>
            <w:tcW w:w="1379" w:type="dxa"/>
            <w:shd w:val="clear" w:color="auto" w:fill="auto"/>
            <w:vAlign w:val="center"/>
          </w:tcPr>
          <w:p w14:paraId="41B209D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兼容要求</w:t>
            </w:r>
          </w:p>
        </w:tc>
        <w:tc>
          <w:tcPr>
            <w:tcW w:w="832" w:type="dxa"/>
            <w:shd w:val="clear" w:color="auto" w:fill="auto"/>
            <w:vAlign w:val="center"/>
          </w:tcPr>
          <w:p w14:paraId="066135E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*部件兼容性要求</w:t>
            </w:r>
          </w:p>
        </w:tc>
        <w:tc>
          <w:tcPr>
            <w:tcW w:w="1343" w:type="dxa"/>
            <w:shd w:val="clear" w:color="auto" w:fill="auto"/>
            <w:vAlign w:val="center"/>
          </w:tcPr>
          <w:p w14:paraId="7385CC6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*固态存储兼容性</w:t>
            </w:r>
          </w:p>
        </w:tc>
        <w:tc>
          <w:tcPr>
            <w:tcW w:w="3548" w:type="dxa"/>
            <w:shd w:val="clear" w:color="auto" w:fill="auto"/>
            <w:vAlign w:val="center"/>
          </w:tcPr>
          <w:p w14:paraId="5F5C649F">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适配 3 种或以上厂商的固态存储产品，且均不低于产品支持的固态存储设备规格</w:t>
            </w:r>
          </w:p>
        </w:tc>
        <w:tc>
          <w:tcPr>
            <w:tcW w:w="1293" w:type="dxa"/>
            <w:shd w:val="clear" w:color="auto" w:fill="auto"/>
            <w:vAlign w:val="center"/>
          </w:tcPr>
          <w:p w14:paraId="745E87C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08F15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E6577C3">
            <w:pPr>
              <w:jc w:val="center"/>
              <w:rPr>
                <w:rFonts w:ascii="宋体" w:hAnsi="宋体" w:eastAsia="宋体" w:cs="仿宋"/>
                <w:sz w:val="20"/>
                <w:szCs w:val="20"/>
              </w:rPr>
            </w:pPr>
          </w:p>
        </w:tc>
        <w:tc>
          <w:tcPr>
            <w:tcW w:w="628" w:type="dxa"/>
            <w:shd w:val="clear" w:color="auto" w:fill="auto"/>
            <w:vAlign w:val="center"/>
          </w:tcPr>
          <w:p w14:paraId="0C04156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115 </w:t>
            </w:r>
          </w:p>
        </w:tc>
        <w:tc>
          <w:tcPr>
            <w:tcW w:w="1379" w:type="dxa"/>
            <w:shd w:val="clear" w:color="auto" w:fill="auto"/>
            <w:vAlign w:val="center"/>
          </w:tcPr>
          <w:p w14:paraId="118389F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兼容要求</w:t>
            </w:r>
          </w:p>
        </w:tc>
        <w:tc>
          <w:tcPr>
            <w:tcW w:w="832" w:type="dxa"/>
            <w:shd w:val="clear" w:color="auto" w:fill="auto"/>
            <w:vAlign w:val="center"/>
          </w:tcPr>
          <w:p w14:paraId="36BC4CD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*部件兼容性要求</w:t>
            </w:r>
          </w:p>
        </w:tc>
        <w:tc>
          <w:tcPr>
            <w:tcW w:w="1343" w:type="dxa"/>
            <w:shd w:val="clear" w:color="auto" w:fill="auto"/>
            <w:vAlign w:val="center"/>
          </w:tcPr>
          <w:p w14:paraId="5F9ACB5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FC HBA 卡兼容性</w:t>
            </w:r>
          </w:p>
        </w:tc>
        <w:tc>
          <w:tcPr>
            <w:tcW w:w="3548" w:type="dxa"/>
            <w:shd w:val="clear" w:color="auto" w:fill="auto"/>
            <w:vAlign w:val="center"/>
          </w:tcPr>
          <w:p w14:paraId="6EE9055F">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4527580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21926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E24EED0">
            <w:pPr>
              <w:jc w:val="center"/>
              <w:rPr>
                <w:rFonts w:ascii="宋体" w:hAnsi="宋体" w:eastAsia="宋体" w:cs="仿宋"/>
                <w:sz w:val="20"/>
                <w:szCs w:val="20"/>
              </w:rPr>
            </w:pPr>
          </w:p>
        </w:tc>
        <w:tc>
          <w:tcPr>
            <w:tcW w:w="628" w:type="dxa"/>
            <w:shd w:val="clear" w:color="auto" w:fill="auto"/>
            <w:vAlign w:val="center"/>
          </w:tcPr>
          <w:p w14:paraId="6037880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116 </w:t>
            </w:r>
          </w:p>
        </w:tc>
        <w:tc>
          <w:tcPr>
            <w:tcW w:w="1379" w:type="dxa"/>
            <w:shd w:val="clear" w:color="auto" w:fill="auto"/>
            <w:vAlign w:val="center"/>
          </w:tcPr>
          <w:p w14:paraId="7AF8225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兼容要求</w:t>
            </w:r>
          </w:p>
        </w:tc>
        <w:tc>
          <w:tcPr>
            <w:tcW w:w="832" w:type="dxa"/>
            <w:shd w:val="clear" w:color="auto" w:fill="auto"/>
            <w:vAlign w:val="center"/>
          </w:tcPr>
          <w:p w14:paraId="55DA965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*部件兼容性要求</w:t>
            </w:r>
          </w:p>
        </w:tc>
        <w:tc>
          <w:tcPr>
            <w:tcW w:w="1343" w:type="dxa"/>
            <w:shd w:val="clear" w:color="auto" w:fill="auto"/>
            <w:vAlign w:val="center"/>
          </w:tcPr>
          <w:p w14:paraId="7A9A2E0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RAID 卡兼容性</w:t>
            </w:r>
          </w:p>
        </w:tc>
        <w:tc>
          <w:tcPr>
            <w:tcW w:w="3548" w:type="dxa"/>
            <w:shd w:val="clear" w:color="auto" w:fill="auto"/>
            <w:vAlign w:val="center"/>
          </w:tcPr>
          <w:p w14:paraId="303D1A39">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7FBDA95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4075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D5BA81C">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5910CC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117 </w:t>
            </w:r>
          </w:p>
        </w:tc>
        <w:tc>
          <w:tcPr>
            <w:tcW w:w="1379" w:type="dxa"/>
            <w:shd w:val="clear" w:color="auto" w:fill="auto"/>
            <w:vAlign w:val="center"/>
          </w:tcPr>
          <w:p w14:paraId="58F6775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兼容要求</w:t>
            </w:r>
          </w:p>
        </w:tc>
        <w:tc>
          <w:tcPr>
            <w:tcW w:w="832" w:type="dxa"/>
            <w:shd w:val="clear" w:color="auto" w:fill="auto"/>
            <w:vAlign w:val="center"/>
          </w:tcPr>
          <w:p w14:paraId="760708C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*部件兼容性要求</w:t>
            </w:r>
          </w:p>
        </w:tc>
        <w:tc>
          <w:tcPr>
            <w:tcW w:w="1343" w:type="dxa"/>
            <w:shd w:val="clear" w:color="auto" w:fill="auto"/>
            <w:vAlign w:val="center"/>
          </w:tcPr>
          <w:p w14:paraId="15D0D70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*网卡兼容性</w:t>
            </w:r>
          </w:p>
        </w:tc>
        <w:tc>
          <w:tcPr>
            <w:tcW w:w="3548" w:type="dxa"/>
            <w:shd w:val="clear" w:color="auto" w:fill="auto"/>
            <w:vAlign w:val="center"/>
          </w:tcPr>
          <w:p w14:paraId="7CBE1008">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网卡应适配两种或以上厂商产品</w:t>
            </w:r>
          </w:p>
        </w:tc>
        <w:tc>
          <w:tcPr>
            <w:tcW w:w="1293" w:type="dxa"/>
            <w:shd w:val="clear" w:color="auto" w:fill="auto"/>
            <w:vAlign w:val="center"/>
          </w:tcPr>
          <w:p w14:paraId="1308F86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A23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5FC9792">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53896AF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118 </w:t>
            </w:r>
          </w:p>
        </w:tc>
        <w:tc>
          <w:tcPr>
            <w:tcW w:w="1379" w:type="dxa"/>
            <w:shd w:val="clear" w:color="auto" w:fill="auto"/>
            <w:vAlign w:val="center"/>
          </w:tcPr>
          <w:p w14:paraId="3A8489F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兼容要求</w:t>
            </w:r>
          </w:p>
        </w:tc>
        <w:tc>
          <w:tcPr>
            <w:tcW w:w="832" w:type="dxa"/>
            <w:shd w:val="clear" w:color="auto" w:fill="auto"/>
            <w:vAlign w:val="center"/>
          </w:tcPr>
          <w:p w14:paraId="6B93FED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*部件兼容性要求</w:t>
            </w:r>
          </w:p>
        </w:tc>
        <w:tc>
          <w:tcPr>
            <w:tcW w:w="1343" w:type="dxa"/>
            <w:shd w:val="clear" w:color="auto" w:fill="auto"/>
            <w:vAlign w:val="center"/>
          </w:tcPr>
          <w:p w14:paraId="4EC7F8D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*功能卡兼容性</w:t>
            </w:r>
          </w:p>
        </w:tc>
        <w:tc>
          <w:tcPr>
            <w:tcW w:w="3548" w:type="dxa"/>
            <w:shd w:val="clear" w:color="auto" w:fill="auto"/>
            <w:vAlign w:val="center"/>
          </w:tcPr>
          <w:p w14:paraId="56B4F764">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内置或适配符合 PCIe 的功能卡，如：网络功能卡、存储功能卡及图形显示功能卡</w:t>
            </w:r>
          </w:p>
        </w:tc>
        <w:tc>
          <w:tcPr>
            <w:tcW w:w="1293" w:type="dxa"/>
            <w:shd w:val="clear" w:color="auto" w:fill="auto"/>
            <w:vAlign w:val="center"/>
          </w:tcPr>
          <w:p w14:paraId="3C1A782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5EA0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B8D06A0">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0CA1A1E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119 </w:t>
            </w:r>
          </w:p>
        </w:tc>
        <w:tc>
          <w:tcPr>
            <w:tcW w:w="1379" w:type="dxa"/>
            <w:shd w:val="clear" w:color="auto" w:fill="auto"/>
            <w:vAlign w:val="center"/>
          </w:tcPr>
          <w:p w14:paraId="6118377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兼容要求</w:t>
            </w:r>
          </w:p>
        </w:tc>
        <w:tc>
          <w:tcPr>
            <w:tcW w:w="832" w:type="dxa"/>
            <w:shd w:val="clear" w:color="auto" w:fill="auto"/>
            <w:vAlign w:val="center"/>
          </w:tcPr>
          <w:p w14:paraId="441C15F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*外设兼容性</w:t>
            </w:r>
          </w:p>
        </w:tc>
        <w:tc>
          <w:tcPr>
            <w:tcW w:w="1343" w:type="dxa"/>
            <w:shd w:val="clear" w:color="auto" w:fill="auto"/>
            <w:vAlign w:val="center"/>
          </w:tcPr>
          <w:p w14:paraId="047050D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*外设兼容性</w:t>
            </w:r>
          </w:p>
        </w:tc>
        <w:tc>
          <w:tcPr>
            <w:tcW w:w="3548" w:type="dxa"/>
            <w:shd w:val="clear" w:color="auto" w:fill="auto"/>
            <w:vAlign w:val="center"/>
          </w:tcPr>
          <w:p w14:paraId="11B2FBDE">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兼容多种主流生产商的外部设备，包括显示器、键盘、鼠标、闪存盘、移动硬盘、USB 光驱及 KVM 等，要求使用不同厂商的外部设备时，系统均能正常识别和安装驱动</w:t>
            </w:r>
          </w:p>
        </w:tc>
        <w:tc>
          <w:tcPr>
            <w:tcW w:w="1293" w:type="dxa"/>
            <w:shd w:val="clear" w:color="auto" w:fill="auto"/>
            <w:vAlign w:val="center"/>
          </w:tcPr>
          <w:p w14:paraId="6432435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D2B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BEEC7C7">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8B6CD1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120 </w:t>
            </w:r>
          </w:p>
        </w:tc>
        <w:tc>
          <w:tcPr>
            <w:tcW w:w="1379" w:type="dxa"/>
            <w:shd w:val="clear" w:color="auto" w:fill="auto"/>
            <w:vAlign w:val="center"/>
          </w:tcPr>
          <w:p w14:paraId="23AA0A3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兼容要求</w:t>
            </w:r>
          </w:p>
        </w:tc>
        <w:tc>
          <w:tcPr>
            <w:tcW w:w="832" w:type="dxa"/>
            <w:shd w:val="clear" w:color="auto" w:fill="auto"/>
            <w:vAlign w:val="center"/>
          </w:tcPr>
          <w:p w14:paraId="459A6F0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*软件兼容性</w:t>
            </w:r>
          </w:p>
        </w:tc>
        <w:tc>
          <w:tcPr>
            <w:tcW w:w="1343" w:type="dxa"/>
            <w:shd w:val="clear" w:color="auto" w:fill="auto"/>
            <w:vAlign w:val="center"/>
          </w:tcPr>
          <w:p w14:paraId="37F1FE6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*数据库兼容</w:t>
            </w:r>
          </w:p>
        </w:tc>
        <w:tc>
          <w:tcPr>
            <w:tcW w:w="3548" w:type="dxa"/>
            <w:shd w:val="clear" w:color="auto" w:fill="auto"/>
            <w:vAlign w:val="center"/>
          </w:tcPr>
          <w:p w14:paraId="036220CB">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兼容 3 个及以上厂商的数据库产品</w:t>
            </w:r>
          </w:p>
        </w:tc>
        <w:tc>
          <w:tcPr>
            <w:tcW w:w="1293" w:type="dxa"/>
            <w:shd w:val="clear" w:color="auto" w:fill="auto"/>
            <w:vAlign w:val="center"/>
          </w:tcPr>
          <w:p w14:paraId="1214D27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406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68F008B">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2CC057A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121 </w:t>
            </w:r>
          </w:p>
        </w:tc>
        <w:tc>
          <w:tcPr>
            <w:tcW w:w="1379" w:type="dxa"/>
            <w:shd w:val="clear" w:color="auto" w:fill="auto"/>
            <w:vAlign w:val="center"/>
          </w:tcPr>
          <w:p w14:paraId="053CCF1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兼容要求</w:t>
            </w:r>
          </w:p>
        </w:tc>
        <w:tc>
          <w:tcPr>
            <w:tcW w:w="832" w:type="dxa"/>
            <w:shd w:val="clear" w:color="auto" w:fill="auto"/>
            <w:vAlign w:val="center"/>
          </w:tcPr>
          <w:p w14:paraId="4BCBE33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*软件兼容性</w:t>
            </w:r>
          </w:p>
        </w:tc>
        <w:tc>
          <w:tcPr>
            <w:tcW w:w="1343" w:type="dxa"/>
            <w:shd w:val="clear" w:color="auto" w:fill="auto"/>
            <w:vAlign w:val="center"/>
          </w:tcPr>
          <w:p w14:paraId="7F33237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*中间件兼容</w:t>
            </w:r>
          </w:p>
        </w:tc>
        <w:tc>
          <w:tcPr>
            <w:tcW w:w="3548" w:type="dxa"/>
            <w:shd w:val="clear" w:color="auto" w:fill="auto"/>
            <w:vAlign w:val="center"/>
          </w:tcPr>
          <w:p w14:paraId="58F5FF75">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兼容 3 个及以上厂商的中间件产品</w:t>
            </w:r>
          </w:p>
        </w:tc>
        <w:tc>
          <w:tcPr>
            <w:tcW w:w="1293" w:type="dxa"/>
            <w:shd w:val="clear" w:color="auto" w:fill="auto"/>
            <w:vAlign w:val="center"/>
          </w:tcPr>
          <w:p w14:paraId="21E1114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2478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0C8252B">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4DBF67D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122 </w:t>
            </w:r>
          </w:p>
        </w:tc>
        <w:tc>
          <w:tcPr>
            <w:tcW w:w="1379" w:type="dxa"/>
            <w:shd w:val="clear" w:color="auto" w:fill="auto"/>
            <w:vAlign w:val="center"/>
          </w:tcPr>
          <w:p w14:paraId="7DF8A2E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兼容要求</w:t>
            </w:r>
          </w:p>
        </w:tc>
        <w:tc>
          <w:tcPr>
            <w:tcW w:w="832" w:type="dxa"/>
            <w:shd w:val="clear" w:color="auto" w:fill="auto"/>
            <w:vAlign w:val="center"/>
          </w:tcPr>
          <w:p w14:paraId="7674ACF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*软件兼容性</w:t>
            </w:r>
          </w:p>
        </w:tc>
        <w:tc>
          <w:tcPr>
            <w:tcW w:w="1343" w:type="dxa"/>
            <w:shd w:val="clear" w:color="auto" w:fill="auto"/>
            <w:vAlign w:val="center"/>
          </w:tcPr>
          <w:p w14:paraId="132F441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*平台软件兼容</w:t>
            </w:r>
          </w:p>
        </w:tc>
        <w:tc>
          <w:tcPr>
            <w:tcW w:w="3548" w:type="dxa"/>
            <w:shd w:val="clear" w:color="auto" w:fill="auto"/>
            <w:vAlign w:val="center"/>
          </w:tcPr>
          <w:p w14:paraId="2CCCB7FE">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兼容 3 个及以上厂商的大数据平台</w:t>
            </w:r>
          </w:p>
        </w:tc>
        <w:tc>
          <w:tcPr>
            <w:tcW w:w="1293" w:type="dxa"/>
            <w:shd w:val="clear" w:color="auto" w:fill="auto"/>
            <w:vAlign w:val="center"/>
          </w:tcPr>
          <w:p w14:paraId="1DC7546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1CE85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C3DFD48">
            <w:pPr>
              <w:jc w:val="center"/>
              <w:rPr>
                <w:rFonts w:ascii="宋体" w:hAnsi="宋体" w:eastAsia="宋体" w:cs="仿宋"/>
                <w:sz w:val="20"/>
                <w:szCs w:val="20"/>
              </w:rPr>
            </w:pPr>
          </w:p>
        </w:tc>
        <w:tc>
          <w:tcPr>
            <w:tcW w:w="628" w:type="dxa"/>
            <w:shd w:val="clear" w:color="auto" w:fill="auto"/>
            <w:vAlign w:val="center"/>
          </w:tcPr>
          <w:p w14:paraId="42D24D9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123 </w:t>
            </w:r>
          </w:p>
        </w:tc>
        <w:tc>
          <w:tcPr>
            <w:tcW w:w="1379" w:type="dxa"/>
            <w:shd w:val="clear" w:color="auto" w:fill="auto"/>
            <w:vAlign w:val="center"/>
          </w:tcPr>
          <w:p w14:paraId="3E3D4A0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兼容要求</w:t>
            </w:r>
          </w:p>
        </w:tc>
        <w:tc>
          <w:tcPr>
            <w:tcW w:w="832" w:type="dxa"/>
            <w:shd w:val="clear" w:color="auto" w:fill="auto"/>
            <w:vAlign w:val="center"/>
          </w:tcPr>
          <w:p w14:paraId="7F246D6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*软件兼容性</w:t>
            </w:r>
          </w:p>
        </w:tc>
        <w:tc>
          <w:tcPr>
            <w:tcW w:w="1343" w:type="dxa"/>
            <w:shd w:val="clear" w:color="auto" w:fill="auto"/>
            <w:vAlign w:val="center"/>
          </w:tcPr>
          <w:p w14:paraId="0343613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虚拟化软件兼容</w:t>
            </w:r>
          </w:p>
        </w:tc>
        <w:tc>
          <w:tcPr>
            <w:tcW w:w="3548" w:type="dxa"/>
            <w:shd w:val="clear" w:color="auto" w:fill="auto"/>
            <w:vAlign w:val="center"/>
          </w:tcPr>
          <w:p w14:paraId="224137B4">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3354BFE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6BD71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07880E7">
            <w:pPr>
              <w:jc w:val="center"/>
              <w:rPr>
                <w:rFonts w:ascii="宋体" w:hAnsi="宋体" w:eastAsia="宋体" w:cs="仿宋"/>
                <w:sz w:val="20"/>
                <w:szCs w:val="20"/>
              </w:rPr>
            </w:pPr>
          </w:p>
        </w:tc>
        <w:tc>
          <w:tcPr>
            <w:tcW w:w="628" w:type="dxa"/>
            <w:shd w:val="clear" w:color="auto" w:fill="auto"/>
            <w:vAlign w:val="center"/>
          </w:tcPr>
          <w:p w14:paraId="34F9F91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124 </w:t>
            </w:r>
          </w:p>
        </w:tc>
        <w:tc>
          <w:tcPr>
            <w:tcW w:w="1379" w:type="dxa"/>
            <w:shd w:val="clear" w:color="auto" w:fill="auto"/>
            <w:vAlign w:val="center"/>
          </w:tcPr>
          <w:p w14:paraId="66CA3F6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可靠性要求</w:t>
            </w:r>
          </w:p>
        </w:tc>
        <w:tc>
          <w:tcPr>
            <w:tcW w:w="832" w:type="dxa"/>
            <w:shd w:val="clear" w:color="auto" w:fill="auto"/>
            <w:vAlign w:val="center"/>
          </w:tcPr>
          <w:p w14:paraId="490860F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存储可靠性要求</w:t>
            </w:r>
          </w:p>
        </w:tc>
        <w:tc>
          <w:tcPr>
            <w:tcW w:w="1343" w:type="dxa"/>
            <w:shd w:val="clear" w:color="auto" w:fill="auto"/>
            <w:vAlign w:val="center"/>
          </w:tcPr>
          <w:p w14:paraId="0D69D13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SATA SSD可靠性</w:t>
            </w:r>
          </w:p>
        </w:tc>
        <w:tc>
          <w:tcPr>
            <w:tcW w:w="3548" w:type="dxa"/>
            <w:shd w:val="clear" w:color="auto" w:fill="auto"/>
            <w:vAlign w:val="center"/>
          </w:tcPr>
          <w:p w14:paraId="1C6EEB6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39D6839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7D1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FE88E1A">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2B16783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125 </w:t>
            </w:r>
          </w:p>
        </w:tc>
        <w:tc>
          <w:tcPr>
            <w:tcW w:w="1379" w:type="dxa"/>
            <w:shd w:val="clear" w:color="auto" w:fill="auto"/>
            <w:vAlign w:val="center"/>
          </w:tcPr>
          <w:p w14:paraId="6375660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可靠性要求</w:t>
            </w:r>
          </w:p>
        </w:tc>
        <w:tc>
          <w:tcPr>
            <w:tcW w:w="832" w:type="dxa"/>
            <w:shd w:val="clear" w:color="auto" w:fill="auto"/>
            <w:vAlign w:val="center"/>
          </w:tcPr>
          <w:p w14:paraId="0F1CDA4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*整机可靠性要求</w:t>
            </w:r>
          </w:p>
        </w:tc>
        <w:tc>
          <w:tcPr>
            <w:tcW w:w="1343" w:type="dxa"/>
            <w:shd w:val="clear" w:color="auto" w:fill="auto"/>
            <w:vAlign w:val="center"/>
          </w:tcPr>
          <w:p w14:paraId="6F4448E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*整机可靠性</w:t>
            </w:r>
          </w:p>
        </w:tc>
        <w:tc>
          <w:tcPr>
            <w:tcW w:w="3548" w:type="dxa"/>
            <w:shd w:val="clear" w:color="auto" w:fill="auto"/>
            <w:vAlign w:val="center"/>
          </w:tcPr>
          <w:p w14:paraId="358B357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m1 值（MTBF 的不可接受值）不得低于 30000h</w:t>
            </w:r>
          </w:p>
        </w:tc>
        <w:tc>
          <w:tcPr>
            <w:tcW w:w="1293" w:type="dxa"/>
            <w:shd w:val="clear" w:color="auto" w:fill="auto"/>
            <w:vAlign w:val="center"/>
          </w:tcPr>
          <w:p w14:paraId="50BBBFE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04CE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3097C92">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3A0D23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126 </w:t>
            </w:r>
          </w:p>
        </w:tc>
        <w:tc>
          <w:tcPr>
            <w:tcW w:w="1379" w:type="dxa"/>
            <w:shd w:val="clear" w:color="auto" w:fill="auto"/>
            <w:vAlign w:val="center"/>
          </w:tcPr>
          <w:p w14:paraId="706DC33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可靠性要求</w:t>
            </w:r>
          </w:p>
        </w:tc>
        <w:tc>
          <w:tcPr>
            <w:tcW w:w="832" w:type="dxa"/>
            <w:shd w:val="clear" w:color="auto" w:fill="auto"/>
            <w:vAlign w:val="center"/>
          </w:tcPr>
          <w:p w14:paraId="2E05A7C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*整机可靠性要求</w:t>
            </w:r>
          </w:p>
        </w:tc>
        <w:tc>
          <w:tcPr>
            <w:tcW w:w="1343" w:type="dxa"/>
            <w:shd w:val="clear" w:color="auto" w:fill="auto"/>
            <w:vAlign w:val="center"/>
          </w:tcPr>
          <w:p w14:paraId="571445B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*风扇可靠性</w:t>
            </w:r>
          </w:p>
        </w:tc>
        <w:tc>
          <w:tcPr>
            <w:tcW w:w="3548" w:type="dxa"/>
            <w:shd w:val="clear" w:color="auto" w:fill="auto"/>
            <w:vAlign w:val="center"/>
          </w:tcPr>
          <w:p w14:paraId="4424C2F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风扇寿命应不低于40000h</w:t>
            </w:r>
          </w:p>
        </w:tc>
        <w:tc>
          <w:tcPr>
            <w:tcW w:w="1293" w:type="dxa"/>
            <w:shd w:val="clear" w:color="auto" w:fill="auto"/>
            <w:vAlign w:val="center"/>
          </w:tcPr>
          <w:p w14:paraId="7DC70DF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78F7F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D1BE963">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89DA5B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127 </w:t>
            </w:r>
          </w:p>
        </w:tc>
        <w:tc>
          <w:tcPr>
            <w:tcW w:w="1379" w:type="dxa"/>
            <w:shd w:val="clear" w:color="auto" w:fill="auto"/>
            <w:vAlign w:val="center"/>
          </w:tcPr>
          <w:p w14:paraId="7F1B1E8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可靠性要求</w:t>
            </w:r>
          </w:p>
        </w:tc>
        <w:tc>
          <w:tcPr>
            <w:tcW w:w="832" w:type="dxa"/>
            <w:shd w:val="clear" w:color="auto" w:fill="auto"/>
            <w:vAlign w:val="center"/>
          </w:tcPr>
          <w:p w14:paraId="2BC1B22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*整机可靠性要求</w:t>
            </w:r>
          </w:p>
        </w:tc>
        <w:tc>
          <w:tcPr>
            <w:tcW w:w="1343" w:type="dxa"/>
            <w:shd w:val="clear" w:color="auto" w:fill="auto"/>
            <w:vAlign w:val="center"/>
          </w:tcPr>
          <w:p w14:paraId="337CDE0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*部件可靠性</w:t>
            </w:r>
          </w:p>
        </w:tc>
        <w:tc>
          <w:tcPr>
            <w:tcW w:w="3548" w:type="dxa"/>
            <w:shd w:val="clear" w:color="auto" w:fill="auto"/>
            <w:vAlign w:val="center"/>
          </w:tcPr>
          <w:p w14:paraId="7BF936D9">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支持硬盘、电源、风扇热插拔(内置风扇除外)</w:t>
            </w:r>
          </w:p>
        </w:tc>
        <w:tc>
          <w:tcPr>
            <w:tcW w:w="1293" w:type="dxa"/>
            <w:shd w:val="clear" w:color="auto" w:fill="auto"/>
            <w:vAlign w:val="center"/>
          </w:tcPr>
          <w:p w14:paraId="593736B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807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F704ADC">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C85E69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128 </w:t>
            </w:r>
          </w:p>
        </w:tc>
        <w:tc>
          <w:tcPr>
            <w:tcW w:w="1379" w:type="dxa"/>
            <w:shd w:val="clear" w:color="auto" w:fill="auto"/>
            <w:vAlign w:val="center"/>
          </w:tcPr>
          <w:p w14:paraId="6162939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包装及运输要求</w:t>
            </w:r>
          </w:p>
        </w:tc>
        <w:tc>
          <w:tcPr>
            <w:tcW w:w="832" w:type="dxa"/>
            <w:shd w:val="clear" w:color="auto" w:fill="auto"/>
            <w:vAlign w:val="center"/>
          </w:tcPr>
          <w:p w14:paraId="68EB7F5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*包装及运输要求</w:t>
            </w:r>
          </w:p>
        </w:tc>
        <w:tc>
          <w:tcPr>
            <w:tcW w:w="1343" w:type="dxa"/>
            <w:shd w:val="clear" w:color="auto" w:fill="auto"/>
            <w:vAlign w:val="center"/>
          </w:tcPr>
          <w:p w14:paraId="67A71865">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*标志、包装、运输和贮存</w:t>
            </w:r>
          </w:p>
        </w:tc>
        <w:tc>
          <w:tcPr>
            <w:tcW w:w="3548" w:type="dxa"/>
            <w:shd w:val="clear" w:color="auto" w:fill="auto"/>
            <w:vAlign w:val="center"/>
          </w:tcPr>
          <w:p w14:paraId="034DE608">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符合GB/T 9813.3 和商品包装政府采购需求标准的相关规定</w:t>
            </w:r>
          </w:p>
        </w:tc>
        <w:tc>
          <w:tcPr>
            <w:tcW w:w="1293" w:type="dxa"/>
            <w:shd w:val="clear" w:color="auto" w:fill="auto"/>
            <w:vAlign w:val="center"/>
          </w:tcPr>
          <w:p w14:paraId="7AEAF06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0813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4513B9E">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10038D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129 </w:t>
            </w:r>
          </w:p>
        </w:tc>
        <w:tc>
          <w:tcPr>
            <w:tcW w:w="1379" w:type="dxa"/>
            <w:shd w:val="clear" w:color="auto" w:fill="auto"/>
            <w:vAlign w:val="center"/>
          </w:tcPr>
          <w:p w14:paraId="5090560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3A8D5E9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*服务响应</w:t>
            </w:r>
          </w:p>
        </w:tc>
        <w:tc>
          <w:tcPr>
            <w:tcW w:w="1343" w:type="dxa"/>
            <w:shd w:val="clear" w:color="auto" w:fill="auto"/>
            <w:vAlign w:val="center"/>
          </w:tcPr>
          <w:p w14:paraId="5709A79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*服务响应</w:t>
            </w:r>
          </w:p>
        </w:tc>
        <w:tc>
          <w:tcPr>
            <w:tcW w:w="3548" w:type="dxa"/>
            <w:shd w:val="clear" w:color="auto" w:fill="auto"/>
            <w:vAlign w:val="center"/>
          </w:tcPr>
          <w:p w14:paraId="53B6B139">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a) 提供电话、电子邮件、远程连接等多种形式服务；</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b) 提供同城 4h、异地 12h 技术响应服务，2 个工作日解决问题，对于未能解决的问题和故障应提供可行的升级方案，并提供周转设备；</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c) 建立全国技术服务体系和服务团体，符合专业服务体系标准要求，提供原厂中文服务；</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d) 服务周期内提供产品的维修、换件和升级服务</w:t>
            </w:r>
          </w:p>
        </w:tc>
        <w:tc>
          <w:tcPr>
            <w:tcW w:w="1293" w:type="dxa"/>
            <w:shd w:val="clear" w:color="auto" w:fill="auto"/>
            <w:vAlign w:val="center"/>
          </w:tcPr>
          <w:p w14:paraId="16DAF06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3CA8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9732817">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1EDE4F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130 </w:t>
            </w:r>
          </w:p>
        </w:tc>
        <w:tc>
          <w:tcPr>
            <w:tcW w:w="1379" w:type="dxa"/>
            <w:shd w:val="clear" w:color="auto" w:fill="auto"/>
            <w:vAlign w:val="center"/>
          </w:tcPr>
          <w:p w14:paraId="0F16D4E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3E2D9F5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*服务响应</w:t>
            </w:r>
          </w:p>
        </w:tc>
        <w:tc>
          <w:tcPr>
            <w:tcW w:w="1343" w:type="dxa"/>
            <w:shd w:val="clear" w:color="auto" w:fill="auto"/>
            <w:vAlign w:val="center"/>
          </w:tcPr>
          <w:p w14:paraId="389B421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*培训服务</w:t>
            </w:r>
          </w:p>
        </w:tc>
        <w:tc>
          <w:tcPr>
            <w:tcW w:w="3548" w:type="dxa"/>
            <w:shd w:val="clear" w:color="auto" w:fill="auto"/>
            <w:vAlign w:val="center"/>
          </w:tcPr>
          <w:p w14:paraId="690F884C">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供应商提供培训材料、产品手册、培训视频等培训相关内容</w:t>
            </w:r>
          </w:p>
        </w:tc>
        <w:tc>
          <w:tcPr>
            <w:tcW w:w="1293" w:type="dxa"/>
            <w:shd w:val="clear" w:color="auto" w:fill="auto"/>
            <w:vAlign w:val="center"/>
          </w:tcPr>
          <w:p w14:paraId="25441FB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C2A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406B3A4">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550F5C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131 </w:t>
            </w:r>
          </w:p>
        </w:tc>
        <w:tc>
          <w:tcPr>
            <w:tcW w:w="1379" w:type="dxa"/>
            <w:shd w:val="clear" w:color="auto" w:fill="auto"/>
            <w:vAlign w:val="center"/>
          </w:tcPr>
          <w:p w14:paraId="7643ECF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1E59142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*服务周期</w:t>
            </w:r>
          </w:p>
        </w:tc>
        <w:tc>
          <w:tcPr>
            <w:tcW w:w="1343" w:type="dxa"/>
            <w:shd w:val="clear" w:color="auto" w:fill="auto"/>
            <w:vAlign w:val="center"/>
          </w:tcPr>
          <w:p w14:paraId="7CE8274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*服务周期</w:t>
            </w:r>
          </w:p>
        </w:tc>
        <w:tc>
          <w:tcPr>
            <w:tcW w:w="3548" w:type="dxa"/>
            <w:shd w:val="clear" w:color="auto" w:fill="auto"/>
            <w:vAlign w:val="center"/>
          </w:tcPr>
          <w:p w14:paraId="7D56DE27">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a) 产品免费服务周期（含换件和维修）应不小于 3 年；</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b) 设备停产后继续提供质量保障服务（含备品备件），服务终止时间与最后一批设备交付时间间隔不低于 6 年；</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c) 产品停止服务时间应提前 1 年告知客户；</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d) 产品发布日期需在随机文件中明确</w:t>
            </w:r>
          </w:p>
        </w:tc>
        <w:tc>
          <w:tcPr>
            <w:tcW w:w="1293" w:type="dxa"/>
            <w:shd w:val="clear" w:color="auto" w:fill="auto"/>
            <w:vAlign w:val="center"/>
          </w:tcPr>
          <w:p w14:paraId="70CF72B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1CA4A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F95947E">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5EDC5E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132 </w:t>
            </w:r>
          </w:p>
        </w:tc>
        <w:tc>
          <w:tcPr>
            <w:tcW w:w="1379" w:type="dxa"/>
            <w:shd w:val="clear" w:color="auto" w:fill="auto"/>
            <w:vAlign w:val="center"/>
          </w:tcPr>
          <w:p w14:paraId="373C311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5E412D5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*服务工具要求</w:t>
            </w:r>
          </w:p>
        </w:tc>
        <w:tc>
          <w:tcPr>
            <w:tcW w:w="1343" w:type="dxa"/>
            <w:shd w:val="clear" w:color="auto" w:fill="auto"/>
            <w:vAlign w:val="center"/>
          </w:tcPr>
          <w:p w14:paraId="131FD22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*工具要求</w:t>
            </w:r>
          </w:p>
        </w:tc>
        <w:tc>
          <w:tcPr>
            <w:tcW w:w="3548" w:type="dxa"/>
            <w:shd w:val="clear" w:color="auto" w:fill="auto"/>
            <w:vAlign w:val="center"/>
          </w:tcPr>
          <w:p w14:paraId="250A95D6">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供应商提供设置服务器硬件、辅助操作系统安装等功能的辅助工具和管理软件。且随附软件应具有合法授权或版权</w:t>
            </w:r>
          </w:p>
        </w:tc>
        <w:tc>
          <w:tcPr>
            <w:tcW w:w="1293" w:type="dxa"/>
            <w:shd w:val="clear" w:color="auto" w:fill="auto"/>
            <w:vAlign w:val="center"/>
          </w:tcPr>
          <w:p w14:paraId="365ADD6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4B8A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767AD74">
            <w:pPr>
              <w:jc w:val="center"/>
              <w:rPr>
                <w:rFonts w:ascii="宋体" w:hAnsi="宋体" w:eastAsia="宋体" w:cs="仿宋"/>
                <w:sz w:val="20"/>
                <w:szCs w:val="20"/>
              </w:rPr>
            </w:pPr>
          </w:p>
        </w:tc>
        <w:tc>
          <w:tcPr>
            <w:tcW w:w="628" w:type="dxa"/>
            <w:shd w:val="clear" w:color="auto" w:fill="auto"/>
            <w:vAlign w:val="center"/>
          </w:tcPr>
          <w:p w14:paraId="0523AF2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133 </w:t>
            </w:r>
          </w:p>
        </w:tc>
        <w:tc>
          <w:tcPr>
            <w:tcW w:w="1379" w:type="dxa"/>
            <w:shd w:val="clear" w:color="auto" w:fill="auto"/>
            <w:vAlign w:val="center"/>
          </w:tcPr>
          <w:p w14:paraId="0FB379B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6925761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*服务工具要求</w:t>
            </w:r>
          </w:p>
        </w:tc>
        <w:tc>
          <w:tcPr>
            <w:tcW w:w="1343" w:type="dxa"/>
            <w:shd w:val="clear" w:color="auto" w:fill="auto"/>
            <w:vAlign w:val="center"/>
          </w:tcPr>
          <w:p w14:paraId="58B31E7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辅助工具</w:t>
            </w:r>
          </w:p>
        </w:tc>
        <w:tc>
          <w:tcPr>
            <w:tcW w:w="3548" w:type="dxa"/>
            <w:shd w:val="clear" w:color="auto" w:fill="auto"/>
            <w:vAlign w:val="center"/>
          </w:tcPr>
          <w:p w14:paraId="3167AC36">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2BE8FB1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0242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EED1196">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429488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134 </w:t>
            </w:r>
          </w:p>
        </w:tc>
        <w:tc>
          <w:tcPr>
            <w:tcW w:w="1379" w:type="dxa"/>
            <w:shd w:val="clear" w:color="auto" w:fill="auto"/>
            <w:vAlign w:val="center"/>
          </w:tcPr>
          <w:p w14:paraId="3E74B2A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7011518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*服务工具要求</w:t>
            </w:r>
          </w:p>
        </w:tc>
        <w:tc>
          <w:tcPr>
            <w:tcW w:w="1343" w:type="dxa"/>
            <w:shd w:val="clear" w:color="auto" w:fill="auto"/>
            <w:vAlign w:val="center"/>
          </w:tcPr>
          <w:p w14:paraId="48C6970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*驱动安装升级指引</w:t>
            </w:r>
          </w:p>
        </w:tc>
        <w:tc>
          <w:tcPr>
            <w:tcW w:w="3548" w:type="dxa"/>
            <w:shd w:val="clear" w:color="auto" w:fill="auto"/>
            <w:vAlign w:val="center"/>
          </w:tcPr>
          <w:p w14:paraId="746CAB4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供应商提供出厂安装的配件所需的驱动程序，形式包括但不限于驱动光盘、驱动下载链接等。其他配件应提供指引</w:t>
            </w:r>
          </w:p>
        </w:tc>
        <w:tc>
          <w:tcPr>
            <w:tcW w:w="1293" w:type="dxa"/>
            <w:shd w:val="clear" w:color="auto" w:fill="auto"/>
            <w:vAlign w:val="center"/>
          </w:tcPr>
          <w:p w14:paraId="56D6670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D25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DC57687">
            <w:pPr>
              <w:jc w:val="center"/>
              <w:rPr>
                <w:rFonts w:ascii="宋体" w:hAnsi="宋体" w:eastAsia="宋体" w:cs="仿宋"/>
                <w:sz w:val="20"/>
                <w:szCs w:val="20"/>
              </w:rPr>
            </w:pPr>
          </w:p>
        </w:tc>
        <w:tc>
          <w:tcPr>
            <w:tcW w:w="628" w:type="dxa"/>
            <w:shd w:val="clear" w:color="auto" w:fill="auto"/>
            <w:vAlign w:val="center"/>
          </w:tcPr>
          <w:p w14:paraId="6F12EE9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135 </w:t>
            </w:r>
          </w:p>
        </w:tc>
        <w:tc>
          <w:tcPr>
            <w:tcW w:w="1379" w:type="dxa"/>
            <w:shd w:val="clear" w:color="auto" w:fill="auto"/>
            <w:vAlign w:val="center"/>
          </w:tcPr>
          <w:p w14:paraId="771B81F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78B377F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*服务工具要求</w:t>
            </w:r>
          </w:p>
        </w:tc>
        <w:tc>
          <w:tcPr>
            <w:tcW w:w="1343" w:type="dxa"/>
            <w:shd w:val="clear" w:color="auto" w:fill="auto"/>
            <w:vAlign w:val="center"/>
          </w:tcPr>
          <w:p w14:paraId="2089B3A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随机附开盖工具</w:t>
            </w:r>
          </w:p>
        </w:tc>
        <w:tc>
          <w:tcPr>
            <w:tcW w:w="3548" w:type="dxa"/>
            <w:shd w:val="clear" w:color="auto" w:fill="auto"/>
            <w:vAlign w:val="center"/>
          </w:tcPr>
          <w:p w14:paraId="64DBC5A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1896CB4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2801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AFB8339">
            <w:pPr>
              <w:jc w:val="center"/>
              <w:rPr>
                <w:rFonts w:ascii="宋体" w:hAnsi="宋体" w:eastAsia="宋体" w:cs="仿宋"/>
                <w:sz w:val="20"/>
                <w:szCs w:val="20"/>
              </w:rPr>
            </w:pPr>
          </w:p>
        </w:tc>
        <w:tc>
          <w:tcPr>
            <w:tcW w:w="628" w:type="dxa"/>
            <w:shd w:val="clear" w:color="auto" w:fill="auto"/>
            <w:vAlign w:val="center"/>
          </w:tcPr>
          <w:p w14:paraId="0E98CA6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136 </w:t>
            </w:r>
          </w:p>
        </w:tc>
        <w:tc>
          <w:tcPr>
            <w:tcW w:w="1379" w:type="dxa"/>
            <w:shd w:val="clear" w:color="auto" w:fill="auto"/>
            <w:vAlign w:val="center"/>
          </w:tcPr>
          <w:p w14:paraId="4308CA5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6A329B8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*服务工具要求</w:t>
            </w:r>
          </w:p>
        </w:tc>
        <w:tc>
          <w:tcPr>
            <w:tcW w:w="1343" w:type="dxa"/>
            <w:shd w:val="clear" w:color="auto" w:fill="auto"/>
            <w:vAlign w:val="center"/>
          </w:tcPr>
          <w:p w14:paraId="3804F50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代码迁移工具</w:t>
            </w:r>
          </w:p>
        </w:tc>
        <w:tc>
          <w:tcPr>
            <w:tcW w:w="3548" w:type="dxa"/>
            <w:shd w:val="clear" w:color="auto" w:fill="auto"/>
            <w:vAlign w:val="center"/>
          </w:tcPr>
          <w:p w14:paraId="3E0C436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05E40B5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44BAE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0742C62">
            <w:pPr>
              <w:jc w:val="center"/>
              <w:rPr>
                <w:rFonts w:ascii="宋体" w:hAnsi="宋体" w:eastAsia="宋体" w:cs="仿宋"/>
                <w:sz w:val="20"/>
                <w:szCs w:val="20"/>
              </w:rPr>
            </w:pPr>
          </w:p>
        </w:tc>
        <w:tc>
          <w:tcPr>
            <w:tcW w:w="628" w:type="dxa"/>
            <w:shd w:val="clear" w:color="auto" w:fill="auto"/>
            <w:vAlign w:val="center"/>
          </w:tcPr>
          <w:p w14:paraId="4C543BB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137 </w:t>
            </w:r>
          </w:p>
        </w:tc>
        <w:tc>
          <w:tcPr>
            <w:tcW w:w="1379" w:type="dxa"/>
            <w:shd w:val="clear" w:color="auto" w:fill="auto"/>
            <w:vAlign w:val="center"/>
          </w:tcPr>
          <w:p w14:paraId="68D3C88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4138809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*服务工具要求</w:t>
            </w:r>
          </w:p>
        </w:tc>
        <w:tc>
          <w:tcPr>
            <w:tcW w:w="1343" w:type="dxa"/>
            <w:shd w:val="clear" w:color="auto" w:fill="auto"/>
            <w:vAlign w:val="center"/>
          </w:tcPr>
          <w:p w14:paraId="4AAB767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性能分析工具</w:t>
            </w:r>
          </w:p>
        </w:tc>
        <w:tc>
          <w:tcPr>
            <w:tcW w:w="3548" w:type="dxa"/>
            <w:shd w:val="clear" w:color="auto" w:fill="auto"/>
            <w:vAlign w:val="center"/>
          </w:tcPr>
          <w:p w14:paraId="1308616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4279749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EF3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247C34E">
            <w:pPr>
              <w:jc w:val="center"/>
              <w:rPr>
                <w:rFonts w:ascii="宋体" w:hAnsi="宋体" w:eastAsia="宋体" w:cs="仿宋"/>
                <w:sz w:val="20"/>
                <w:szCs w:val="20"/>
              </w:rPr>
            </w:pPr>
          </w:p>
        </w:tc>
        <w:tc>
          <w:tcPr>
            <w:tcW w:w="628" w:type="dxa"/>
            <w:shd w:val="clear" w:color="auto" w:fill="auto"/>
            <w:vAlign w:val="center"/>
          </w:tcPr>
          <w:p w14:paraId="3A4022D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138 </w:t>
            </w:r>
          </w:p>
        </w:tc>
        <w:tc>
          <w:tcPr>
            <w:tcW w:w="1379" w:type="dxa"/>
            <w:shd w:val="clear" w:color="auto" w:fill="auto"/>
            <w:vAlign w:val="center"/>
          </w:tcPr>
          <w:p w14:paraId="27D65DE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7177A49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*服务工具要求</w:t>
            </w:r>
          </w:p>
        </w:tc>
        <w:tc>
          <w:tcPr>
            <w:tcW w:w="1343" w:type="dxa"/>
            <w:shd w:val="clear" w:color="auto" w:fill="auto"/>
            <w:vAlign w:val="center"/>
          </w:tcPr>
          <w:p w14:paraId="48C796F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跨架构平台应用兼容</w:t>
            </w:r>
          </w:p>
        </w:tc>
        <w:tc>
          <w:tcPr>
            <w:tcW w:w="3548" w:type="dxa"/>
            <w:shd w:val="clear" w:color="auto" w:fill="auto"/>
            <w:vAlign w:val="center"/>
          </w:tcPr>
          <w:p w14:paraId="250CBA6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5C5B21B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35C6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ADD3870">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01578D9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139 </w:t>
            </w:r>
          </w:p>
        </w:tc>
        <w:tc>
          <w:tcPr>
            <w:tcW w:w="1379" w:type="dxa"/>
            <w:shd w:val="clear" w:color="auto" w:fill="auto"/>
            <w:vAlign w:val="center"/>
          </w:tcPr>
          <w:p w14:paraId="4840D20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5945480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*服务工具要求</w:t>
            </w:r>
          </w:p>
        </w:tc>
        <w:tc>
          <w:tcPr>
            <w:tcW w:w="1343" w:type="dxa"/>
            <w:shd w:val="clear" w:color="auto" w:fill="auto"/>
            <w:vAlign w:val="center"/>
          </w:tcPr>
          <w:p w14:paraId="0D5E8DC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*管理软件</w:t>
            </w:r>
          </w:p>
        </w:tc>
        <w:tc>
          <w:tcPr>
            <w:tcW w:w="3548" w:type="dxa"/>
            <w:shd w:val="clear" w:color="auto" w:fill="auto"/>
            <w:vAlign w:val="center"/>
          </w:tcPr>
          <w:p w14:paraId="4D9D3DA7">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具备资源管理、系统管理、性能监控、健康监控、基于网络控制、报警设置功能</w:t>
            </w:r>
          </w:p>
        </w:tc>
        <w:tc>
          <w:tcPr>
            <w:tcW w:w="1293" w:type="dxa"/>
            <w:shd w:val="clear" w:color="auto" w:fill="auto"/>
            <w:vAlign w:val="center"/>
          </w:tcPr>
          <w:p w14:paraId="596B684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7BC3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989135F">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62CBED4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140 </w:t>
            </w:r>
          </w:p>
        </w:tc>
        <w:tc>
          <w:tcPr>
            <w:tcW w:w="1379" w:type="dxa"/>
            <w:shd w:val="clear" w:color="auto" w:fill="auto"/>
            <w:vAlign w:val="center"/>
          </w:tcPr>
          <w:p w14:paraId="766C780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3C3AC2C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*增值服务</w:t>
            </w:r>
          </w:p>
        </w:tc>
        <w:tc>
          <w:tcPr>
            <w:tcW w:w="1343" w:type="dxa"/>
            <w:shd w:val="clear" w:color="auto" w:fill="auto"/>
            <w:vAlign w:val="center"/>
          </w:tcPr>
          <w:p w14:paraId="397135F8">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*厂家升级产品软件与扩容服务</w:t>
            </w:r>
          </w:p>
        </w:tc>
        <w:tc>
          <w:tcPr>
            <w:tcW w:w="3548" w:type="dxa"/>
            <w:shd w:val="clear" w:color="auto" w:fill="auto"/>
            <w:vAlign w:val="center"/>
          </w:tcPr>
          <w:p w14:paraId="3E680A56">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供应商提供原厂级的部件/软件产品升级和扩容能力</w:t>
            </w:r>
          </w:p>
        </w:tc>
        <w:tc>
          <w:tcPr>
            <w:tcW w:w="1293" w:type="dxa"/>
            <w:shd w:val="clear" w:color="auto" w:fill="auto"/>
            <w:vAlign w:val="center"/>
          </w:tcPr>
          <w:p w14:paraId="46B07BF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E8D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376483F">
            <w:pPr>
              <w:jc w:val="center"/>
              <w:rPr>
                <w:rFonts w:ascii="宋体" w:hAnsi="宋体" w:eastAsia="宋体" w:cs="仿宋"/>
                <w:sz w:val="20"/>
                <w:szCs w:val="20"/>
              </w:rPr>
            </w:pPr>
          </w:p>
        </w:tc>
        <w:tc>
          <w:tcPr>
            <w:tcW w:w="628" w:type="dxa"/>
            <w:shd w:val="clear" w:color="auto" w:fill="auto"/>
            <w:vAlign w:val="center"/>
          </w:tcPr>
          <w:p w14:paraId="1897A54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141 </w:t>
            </w:r>
          </w:p>
        </w:tc>
        <w:tc>
          <w:tcPr>
            <w:tcW w:w="1379" w:type="dxa"/>
            <w:shd w:val="clear" w:color="auto" w:fill="auto"/>
            <w:vAlign w:val="center"/>
          </w:tcPr>
          <w:p w14:paraId="0B0BB2C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217A93F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*增值服务</w:t>
            </w:r>
          </w:p>
        </w:tc>
        <w:tc>
          <w:tcPr>
            <w:tcW w:w="1343" w:type="dxa"/>
            <w:shd w:val="clear" w:color="auto" w:fill="auto"/>
            <w:vAlign w:val="center"/>
          </w:tcPr>
          <w:p w14:paraId="04E64C5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服务保障升级</w:t>
            </w:r>
          </w:p>
        </w:tc>
        <w:tc>
          <w:tcPr>
            <w:tcW w:w="3548" w:type="dxa"/>
            <w:shd w:val="clear" w:color="auto" w:fill="auto"/>
            <w:vAlign w:val="center"/>
          </w:tcPr>
          <w:p w14:paraId="7DBE6430">
            <w:pPr>
              <w:keepNext w:val="0"/>
              <w:keepLines w:val="0"/>
              <w:widowControl/>
              <w:suppressLineNumbers w:val="0"/>
              <w:jc w:val="left"/>
              <w:textAlignment w:val="center"/>
              <w:rPr>
                <w:rFonts w:ascii="宋体" w:hAnsi="宋体" w:eastAsia="宋体" w:cs="仿宋"/>
                <w:sz w:val="20"/>
                <w:szCs w:val="20"/>
                <w:lang w:val="en-US"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241EA63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6167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721A99A">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5965FF7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142 </w:t>
            </w:r>
          </w:p>
        </w:tc>
        <w:tc>
          <w:tcPr>
            <w:tcW w:w="1379" w:type="dxa"/>
            <w:shd w:val="clear" w:color="auto" w:fill="auto"/>
            <w:vAlign w:val="center"/>
          </w:tcPr>
          <w:p w14:paraId="5C85BDA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72CE96D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*增值服务</w:t>
            </w:r>
          </w:p>
        </w:tc>
        <w:tc>
          <w:tcPr>
            <w:tcW w:w="1343" w:type="dxa"/>
            <w:shd w:val="clear" w:color="auto" w:fill="auto"/>
            <w:vAlign w:val="center"/>
          </w:tcPr>
          <w:p w14:paraId="35A37D7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*提供上门服务</w:t>
            </w:r>
          </w:p>
        </w:tc>
        <w:tc>
          <w:tcPr>
            <w:tcW w:w="3548" w:type="dxa"/>
            <w:shd w:val="clear" w:color="auto" w:fill="auto"/>
            <w:vAlign w:val="center"/>
          </w:tcPr>
          <w:p w14:paraId="373784EF">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供应商具备提供上门服务的能力(可收费)</w:t>
            </w:r>
          </w:p>
        </w:tc>
        <w:tc>
          <w:tcPr>
            <w:tcW w:w="1293" w:type="dxa"/>
            <w:shd w:val="clear" w:color="auto" w:fill="auto"/>
            <w:vAlign w:val="center"/>
          </w:tcPr>
          <w:p w14:paraId="7891B8B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7DB9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39584EC">
            <w:pPr>
              <w:jc w:val="center"/>
              <w:rPr>
                <w:rFonts w:ascii="宋体" w:hAnsi="宋体" w:eastAsia="宋体" w:cs="仿宋"/>
                <w:sz w:val="20"/>
                <w:szCs w:val="20"/>
              </w:rPr>
            </w:pPr>
          </w:p>
        </w:tc>
        <w:tc>
          <w:tcPr>
            <w:tcW w:w="628" w:type="dxa"/>
            <w:shd w:val="clear" w:color="auto" w:fill="auto"/>
            <w:vAlign w:val="center"/>
          </w:tcPr>
          <w:p w14:paraId="26979F7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143 </w:t>
            </w:r>
          </w:p>
        </w:tc>
        <w:tc>
          <w:tcPr>
            <w:tcW w:w="1379" w:type="dxa"/>
            <w:shd w:val="clear" w:color="auto" w:fill="auto"/>
            <w:vAlign w:val="center"/>
          </w:tcPr>
          <w:p w14:paraId="10F51B5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1C653EB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*增值服务</w:t>
            </w:r>
          </w:p>
        </w:tc>
        <w:tc>
          <w:tcPr>
            <w:tcW w:w="1343" w:type="dxa"/>
            <w:shd w:val="clear" w:color="auto" w:fill="auto"/>
            <w:vAlign w:val="center"/>
          </w:tcPr>
          <w:p w14:paraId="2075C70D">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业务场景性能优化服务及整体架构升级服务</w:t>
            </w:r>
          </w:p>
        </w:tc>
        <w:tc>
          <w:tcPr>
            <w:tcW w:w="3548" w:type="dxa"/>
            <w:shd w:val="clear" w:color="auto" w:fill="auto"/>
            <w:vAlign w:val="center"/>
          </w:tcPr>
          <w:p w14:paraId="2DEE4B6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392A8DC1">
            <w:pPr>
              <w:keepNext w:val="0"/>
              <w:keepLines w:val="0"/>
              <w:widowControl/>
              <w:suppressLineNumbers w:val="0"/>
              <w:jc w:val="center"/>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r>
      <w:tr w14:paraId="2C0C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49BDBE3">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ED9BBF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144 </w:t>
            </w:r>
          </w:p>
        </w:tc>
        <w:tc>
          <w:tcPr>
            <w:tcW w:w="1379" w:type="dxa"/>
            <w:shd w:val="clear" w:color="auto" w:fill="auto"/>
            <w:vAlign w:val="center"/>
          </w:tcPr>
          <w:p w14:paraId="1EA653D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供保要求</w:t>
            </w:r>
          </w:p>
        </w:tc>
        <w:tc>
          <w:tcPr>
            <w:tcW w:w="832" w:type="dxa"/>
            <w:shd w:val="clear" w:color="auto" w:fill="auto"/>
            <w:vAlign w:val="center"/>
          </w:tcPr>
          <w:p w14:paraId="665106D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*供应链质量</w:t>
            </w:r>
          </w:p>
        </w:tc>
        <w:tc>
          <w:tcPr>
            <w:tcW w:w="1343" w:type="dxa"/>
            <w:shd w:val="clear" w:color="auto" w:fill="auto"/>
            <w:vAlign w:val="center"/>
          </w:tcPr>
          <w:p w14:paraId="1217FA6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*抗干扰性</w:t>
            </w:r>
          </w:p>
        </w:tc>
        <w:tc>
          <w:tcPr>
            <w:tcW w:w="3548" w:type="dxa"/>
            <w:shd w:val="clear" w:color="auto" w:fill="auto"/>
            <w:vAlign w:val="center"/>
          </w:tcPr>
          <w:p w14:paraId="34D17654">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当产品部件出现供应风险时，应通知客户并提供风险应对方案确保产品的服务保障，必要时应停止相关受影响产品的销售</w:t>
            </w:r>
          </w:p>
        </w:tc>
        <w:tc>
          <w:tcPr>
            <w:tcW w:w="1293" w:type="dxa"/>
            <w:shd w:val="clear" w:color="auto" w:fill="auto"/>
            <w:vAlign w:val="center"/>
          </w:tcPr>
          <w:p w14:paraId="2B24223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1D8A6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D1B6DF0">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4E7B6B8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145 </w:t>
            </w:r>
          </w:p>
        </w:tc>
        <w:tc>
          <w:tcPr>
            <w:tcW w:w="1379" w:type="dxa"/>
            <w:shd w:val="clear" w:color="auto" w:fill="auto"/>
            <w:vAlign w:val="center"/>
          </w:tcPr>
          <w:p w14:paraId="1173C03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供保要求</w:t>
            </w:r>
          </w:p>
        </w:tc>
        <w:tc>
          <w:tcPr>
            <w:tcW w:w="832" w:type="dxa"/>
            <w:shd w:val="clear" w:color="auto" w:fill="auto"/>
            <w:vAlign w:val="center"/>
          </w:tcPr>
          <w:p w14:paraId="18E0671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*供应链质量</w:t>
            </w:r>
          </w:p>
        </w:tc>
        <w:tc>
          <w:tcPr>
            <w:tcW w:w="1343" w:type="dxa"/>
            <w:shd w:val="clear" w:color="auto" w:fill="auto"/>
            <w:vAlign w:val="center"/>
          </w:tcPr>
          <w:p w14:paraId="143D44F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*供应能力证明</w:t>
            </w:r>
          </w:p>
        </w:tc>
        <w:tc>
          <w:tcPr>
            <w:tcW w:w="3548" w:type="dxa"/>
            <w:shd w:val="clear" w:color="auto" w:fill="auto"/>
            <w:vAlign w:val="center"/>
          </w:tcPr>
          <w:p w14:paraId="6B436BEC">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供应商提供供应链稳定承诺书，确保产品的部件在产品服务周期内稳定供货</w:t>
            </w:r>
          </w:p>
        </w:tc>
        <w:tc>
          <w:tcPr>
            <w:tcW w:w="1293" w:type="dxa"/>
            <w:shd w:val="clear" w:color="auto" w:fill="auto"/>
            <w:vAlign w:val="center"/>
          </w:tcPr>
          <w:p w14:paraId="671BC4B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bl>
    <w:p w14:paraId="538D0DAF">
      <w:pPr>
        <w:spacing w:line="440" w:lineRule="exact"/>
        <w:ind w:firstLine="562" w:firstLineChars="200"/>
        <w:jc w:val="center"/>
        <w:outlineLvl w:val="9"/>
        <w:rPr>
          <w:rFonts w:ascii="宋体" w:hAnsi="宋体" w:eastAsia="宋体" w:cs="微软雅黑"/>
          <w:b/>
          <w:bCs/>
          <w:color w:val="auto"/>
          <w:sz w:val="28"/>
          <w:szCs w:val="28"/>
          <w:lang w:val="en-US" w:eastAsia="zh-CN"/>
        </w:rPr>
      </w:pPr>
    </w:p>
    <w:p w14:paraId="4ACEF78D">
      <w:pPr>
        <w:spacing w:line="440" w:lineRule="exact"/>
        <w:ind w:firstLine="562" w:firstLineChars="200"/>
        <w:jc w:val="center"/>
        <w:outlineLvl w:val="9"/>
        <w:rPr>
          <w:rFonts w:ascii="宋体" w:hAnsi="宋体" w:eastAsia="宋体" w:cs="微软雅黑"/>
          <w:b/>
          <w:bCs/>
          <w:color w:val="auto"/>
          <w:sz w:val="28"/>
          <w:szCs w:val="28"/>
          <w:lang w:val="en-US" w:eastAsia="zh-CN"/>
        </w:rPr>
      </w:pPr>
    </w:p>
    <w:p w14:paraId="31209658">
      <w:pPr>
        <w:spacing w:line="440" w:lineRule="exact"/>
        <w:ind w:firstLine="562" w:firstLineChars="200"/>
        <w:jc w:val="center"/>
        <w:outlineLvl w:val="1"/>
        <w:rPr>
          <w:rFonts w:ascii="宋体" w:hAnsi="宋体" w:eastAsia="宋体" w:cs="Times New Roman"/>
          <w:b/>
          <w:bCs/>
          <w:color w:val="auto"/>
          <w:sz w:val="28"/>
          <w:szCs w:val="28"/>
          <w:lang w:val="en-US" w:eastAsia="zh-CN"/>
        </w:rPr>
      </w:pPr>
      <w:r>
        <w:rPr>
          <w:rFonts w:ascii="宋体" w:hAnsi="宋体" w:eastAsia="宋体" w:cs="微软雅黑"/>
          <w:b/>
          <w:bCs/>
          <w:color w:val="auto"/>
          <w:sz w:val="28"/>
          <w:szCs w:val="28"/>
          <w:lang w:val="en-US" w:eastAsia="zh-CN"/>
        </w:rPr>
        <w:t>表4 PACS服务器技术参数</w:t>
      </w:r>
    </w:p>
    <w:tbl>
      <w:tblPr>
        <w:tblStyle w:val="51"/>
        <w:tblW w:w="9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628"/>
        <w:gridCol w:w="1379"/>
        <w:gridCol w:w="832"/>
        <w:gridCol w:w="1343"/>
        <w:gridCol w:w="3548"/>
        <w:gridCol w:w="1293"/>
      </w:tblGrid>
      <w:tr w14:paraId="01EB8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DCAE192">
            <w:pPr>
              <w:jc w:val="center"/>
              <w:textAlignment w:val="center"/>
              <w:rPr>
                <w:rFonts w:ascii="宋体" w:hAnsi="宋体" w:eastAsia="宋体" w:cs="仿宋"/>
                <w:b/>
                <w:bCs/>
                <w:sz w:val="20"/>
                <w:szCs w:val="20"/>
              </w:rPr>
            </w:pPr>
            <w:r>
              <w:rPr>
                <w:rFonts w:ascii="宋体" w:hAnsi="宋体" w:eastAsia="宋体" w:cs="仿宋"/>
                <w:b/>
                <w:bCs/>
                <w:kern w:val="0"/>
                <w:sz w:val="20"/>
                <w:szCs w:val="20"/>
                <w:lang w:val="en-US" w:eastAsia="zh-CN" w:bidi="ar"/>
              </w:rPr>
              <w:t>重要程度</w:t>
            </w:r>
          </w:p>
        </w:tc>
        <w:tc>
          <w:tcPr>
            <w:tcW w:w="628" w:type="dxa"/>
            <w:shd w:val="clear" w:color="auto" w:fill="auto"/>
            <w:vAlign w:val="center"/>
          </w:tcPr>
          <w:p w14:paraId="4FAD19D8">
            <w:pPr>
              <w:jc w:val="center"/>
              <w:textAlignment w:val="center"/>
              <w:rPr>
                <w:rFonts w:ascii="宋体" w:hAnsi="宋体" w:eastAsia="宋体" w:cs="仿宋"/>
                <w:b/>
                <w:bCs/>
                <w:sz w:val="20"/>
                <w:szCs w:val="20"/>
              </w:rPr>
            </w:pPr>
            <w:r>
              <w:rPr>
                <w:rFonts w:ascii="宋体" w:hAnsi="宋体" w:eastAsia="宋体" w:cs="仿宋"/>
                <w:b/>
                <w:bCs/>
                <w:kern w:val="0"/>
                <w:sz w:val="20"/>
                <w:szCs w:val="20"/>
                <w:lang w:val="en-US" w:eastAsia="zh-CN" w:bidi="ar"/>
              </w:rPr>
              <w:t>序号</w:t>
            </w:r>
          </w:p>
        </w:tc>
        <w:tc>
          <w:tcPr>
            <w:tcW w:w="1379" w:type="dxa"/>
            <w:shd w:val="clear" w:color="auto" w:fill="auto"/>
            <w:vAlign w:val="center"/>
          </w:tcPr>
          <w:p w14:paraId="58E2E368">
            <w:pPr>
              <w:jc w:val="center"/>
              <w:textAlignment w:val="center"/>
              <w:rPr>
                <w:rFonts w:ascii="宋体" w:hAnsi="宋体" w:eastAsia="宋体" w:cs="仿宋"/>
                <w:b/>
                <w:bCs/>
                <w:sz w:val="20"/>
                <w:szCs w:val="20"/>
              </w:rPr>
            </w:pPr>
            <w:r>
              <w:rPr>
                <w:rFonts w:ascii="宋体" w:hAnsi="宋体" w:eastAsia="宋体" w:cs="仿宋"/>
                <w:b/>
                <w:bCs/>
                <w:kern w:val="0"/>
                <w:sz w:val="20"/>
                <w:szCs w:val="20"/>
                <w:lang w:val="en-US" w:eastAsia="zh-CN" w:bidi="ar"/>
              </w:rPr>
              <w:t xml:space="preserve">  指标分类</w:t>
            </w:r>
          </w:p>
        </w:tc>
        <w:tc>
          <w:tcPr>
            <w:tcW w:w="832" w:type="dxa"/>
            <w:shd w:val="clear" w:color="auto" w:fill="auto"/>
            <w:vAlign w:val="center"/>
          </w:tcPr>
          <w:p w14:paraId="32BF3C1F">
            <w:pPr>
              <w:jc w:val="center"/>
              <w:textAlignment w:val="center"/>
              <w:rPr>
                <w:rFonts w:ascii="宋体" w:hAnsi="宋体" w:eastAsia="宋体" w:cs="仿宋"/>
                <w:b/>
                <w:bCs/>
                <w:kern w:val="0"/>
                <w:sz w:val="20"/>
                <w:szCs w:val="20"/>
                <w:lang w:val="en-US" w:eastAsia="zh-CN" w:bidi="ar"/>
              </w:rPr>
            </w:pPr>
            <w:r>
              <w:rPr>
                <w:rFonts w:ascii="宋体" w:hAnsi="宋体" w:eastAsia="宋体" w:cs="仿宋"/>
                <w:b/>
                <w:bCs/>
                <w:kern w:val="0"/>
                <w:sz w:val="20"/>
                <w:szCs w:val="20"/>
                <w:lang w:val="en-US" w:eastAsia="zh-CN" w:bidi="ar"/>
              </w:rPr>
              <w:t>一级</w:t>
            </w:r>
          </w:p>
          <w:p w14:paraId="5BB3CE78">
            <w:pPr>
              <w:jc w:val="center"/>
              <w:textAlignment w:val="center"/>
              <w:rPr>
                <w:rFonts w:ascii="宋体" w:hAnsi="宋体" w:eastAsia="宋体" w:cs="仿宋"/>
                <w:b/>
                <w:bCs/>
                <w:sz w:val="20"/>
                <w:szCs w:val="20"/>
              </w:rPr>
            </w:pPr>
            <w:r>
              <w:rPr>
                <w:rFonts w:ascii="宋体" w:hAnsi="宋体" w:eastAsia="宋体" w:cs="仿宋"/>
                <w:b/>
                <w:bCs/>
                <w:kern w:val="0"/>
                <w:sz w:val="20"/>
                <w:szCs w:val="20"/>
                <w:lang w:val="en-US" w:eastAsia="zh-CN" w:bidi="ar"/>
              </w:rPr>
              <w:t>指标</w:t>
            </w:r>
          </w:p>
        </w:tc>
        <w:tc>
          <w:tcPr>
            <w:tcW w:w="1343" w:type="dxa"/>
            <w:shd w:val="clear" w:color="auto" w:fill="auto"/>
            <w:vAlign w:val="center"/>
          </w:tcPr>
          <w:p w14:paraId="1D468BB9">
            <w:pPr>
              <w:jc w:val="center"/>
              <w:textAlignment w:val="center"/>
              <w:rPr>
                <w:rFonts w:ascii="宋体" w:hAnsi="宋体" w:eastAsia="宋体" w:cs="仿宋"/>
                <w:b/>
                <w:bCs/>
                <w:sz w:val="20"/>
                <w:szCs w:val="20"/>
              </w:rPr>
            </w:pPr>
            <w:r>
              <w:rPr>
                <w:rFonts w:ascii="宋体" w:hAnsi="宋体" w:eastAsia="宋体" w:cs="仿宋"/>
                <w:b/>
                <w:bCs/>
                <w:kern w:val="0"/>
                <w:sz w:val="20"/>
                <w:szCs w:val="20"/>
                <w:lang w:val="en-US" w:eastAsia="zh-CN" w:bidi="ar"/>
              </w:rPr>
              <w:t>二级指标</w:t>
            </w:r>
          </w:p>
        </w:tc>
        <w:tc>
          <w:tcPr>
            <w:tcW w:w="3548" w:type="dxa"/>
            <w:shd w:val="clear" w:color="auto" w:fill="auto"/>
            <w:vAlign w:val="center"/>
          </w:tcPr>
          <w:p w14:paraId="360472AA">
            <w:pPr>
              <w:jc w:val="center"/>
              <w:textAlignment w:val="center"/>
              <w:rPr>
                <w:rFonts w:ascii="宋体" w:hAnsi="宋体" w:eastAsia="宋体" w:cs="仿宋"/>
                <w:b/>
                <w:bCs/>
                <w:sz w:val="20"/>
                <w:szCs w:val="20"/>
              </w:rPr>
            </w:pPr>
            <w:r>
              <w:rPr>
                <w:rFonts w:ascii="宋体" w:hAnsi="宋体" w:eastAsia="宋体" w:cs="仿宋"/>
                <w:b/>
                <w:bCs/>
                <w:kern w:val="0"/>
                <w:sz w:val="20"/>
                <w:szCs w:val="20"/>
                <w:lang w:val="en-US" w:eastAsia="zh-CN" w:bidi="ar"/>
              </w:rPr>
              <w:t>指标要求</w:t>
            </w:r>
          </w:p>
        </w:tc>
        <w:tc>
          <w:tcPr>
            <w:tcW w:w="1293" w:type="dxa"/>
            <w:shd w:val="clear" w:color="auto" w:fill="auto"/>
            <w:vAlign w:val="center"/>
          </w:tcPr>
          <w:p w14:paraId="0472F4B7">
            <w:pPr>
              <w:jc w:val="center"/>
              <w:textAlignment w:val="center"/>
              <w:rPr>
                <w:rFonts w:ascii="宋体" w:hAnsi="宋体" w:eastAsia="宋体" w:cs="仿宋"/>
                <w:b/>
                <w:bCs/>
                <w:sz w:val="20"/>
                <w:szCs w:val="20"/>
              </w:rPr>
            </w:pPr>
            <w:r>
              <w:rPr>
                <w:rFonts w:ascii="宋体" w:hAnsi="宋体" w:eastAsia="宋体" w:cs="仿宋"/>
                <w:b/>
                <w:bCs/>
                <w:kern w:val="0"/>
                <w:sz w:val="20"/>
                <w:szCs w:val="20"/>
                <w:lang w:val="en-US" w:eastAsia="zh-CN" w:bidi="ar"/>
              </w:rPr>
              <w:t>证明材料要求</w:t>
            </w:r>
          </w:p>
        </w:tc>
      </w:tr>
      <w:tr w14:paraId="2332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5433B42">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7E8984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 </w:t>
            </w:r>
          </w:p>
        </w:tc>
        <w:tc>
          <w:tcPr>
            <w:tcW w:w="1379" w:type="dxa"/>
            <w:shd w:val="clear" w:color="auto" w:fill="auto"/>
            <w:vAlign w:val="center"/>
          </w:tcPr>
          <w:p w14:paraId="6A910E3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  产品规格</w:t>
            </w:r>
          </w:p>
        </w:tc>
        <w:tc>
          <w:tcPr>
            <w:tcW w:w="832" w:type="dxa"/>
            <w:shd w:val="clear" w:color="auto" w:fill="auto"/>
            <w:vAlign w:val="center"/>
          </w:tcPr>
          <w:p w14:paraId="468AC02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*CPU规格</w:t>
            </w:r>
          </w:p>
        </w:tc>
        <w:tc>
          <w:tcPr>
            <w:tcW w:w="1343" w:type="dxa"/>
            <w:shd w:val="clear" w:color="auto" w:fill="auto"/>
            <w:vAlign w:val="center"/>
          </w:tcPr>
          <w:p w14:paraId="0592E20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*CPU 信息</w:t>
            </w:r>
          </w:p>
        </w:tc>
        <w:tc>
          <w:tcPr>
            <w:tcW w:w="3548" w:type="dxa"/>
            <w:shd w:val="clear" w:color="auto" w:fill="auto"/>
            <w:vAlign w:val="center"/>
          </w:tcPr>
          <w:p w14:paraId="6519C785">
            <w:pPr>
              <w:keepNext w:val="0"/>
              <w:keepLines w:val="0"/>
              <w:widowControl/>
              <w:suppressLineNumbers w:val="0"/>
              <w:jc w:val="left"/>
              <w:textAlignment w:val="center"/>
              <w:rPr>
                <w:rFonts w:ascii="宋体" w:hAnsi="宋体" w:eastAsia="宋体"/>
                <w:lang w:val="en-US" w:eastAsia="zh-CN"/>
              </w:rPr>
            </w:pPr>
            <w:r>
              <w:rPr>
                <w:rFonts w:hint="eastAsia" w:ascii="黑体" w:hAnsi="宋体" w:eastAsia="黑体" w:cs="黑体"/>
                <w:i w:val="0"/>
                <w:iCs w:val="0"/>
                <w:color w:val="000000"/>
                <w:kern w:val="0"/>
                <w:sz w:val="16"/>
                <w:szCs w:val="16"/>
                <w:u w:val="none"/>
                <w:lang w:val="en-US" w:eastAsia="zh-CN" w:bidi="ar"/>
              </w:rPr>
              <w:t>供应商给出CPU 信息，包含 CPU 型号、物理核心数、主频、末级缓存容量、线程数、热设计功耗及支持内存的最高速率、通道数和位宽</w:t>
            </w:r>
          </w:p>
        </w:tc>
        <w:tc>
          <w:tcPr>
            <w:tcW w:w="1293" w:type="dxa"/>
            <w:shd w:val="clear" w:color="auto" w:fill="auto"/>
            <w:vAlign w:val="center"/>
          </w:tcPr>
          <w:p w14:paraId="6E7288A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37DC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9A14C9D">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56D60BB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2 </w:t>
            </w:r>
          </w:p>
        </w:tc>
        <w:tc>
          <w:tcPr>
            <w:tcW w:w="1379" w:type="dxa"/>
            <w:shd w:val="clear" w:color="auto" w:fill="auto"/>
            <w:vAlign w:val="center"/>
          </w:tcPr>
          <w:p w14:paraId="30850E7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  产品规格</w:t>
            </w:r>
          </w:p>
        </w:tc>
        <w:tc>
          <w:tcPr>
            <w:tcW w:w="832" w:type="dxa"/>
            <w:shd w:val="clear" w:color="auto" w:fill="auto"/>
            <w:vAlign w:val="center"/>
          </w:tcPr>
          <w:p w14:paraId="6380F07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*主板规格</w:t>
            </w:r>
          </w:p>
        </w:tc>
        <w:tc>
          <w:tcPr>
            <w:tcW w:w="1343" w:type="dxa"/>
            <w:shd w:val="clear" w:color="auto" w:fill="auto"/>
            <w:vAlign w:val="center"/>
          </w:tcPr>
          <w:p w14:paraId="3AD0F234">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*主板支持的 CPU 和内存情况</w:t>
            </w:r>
          </w:p>
        </w:tc>
        <w:tc>
          <w:tcPr>
            <w:tcW w:w="3548" w:type="dxa"/>
            <w:shd w:val="clear" w:color="auto" w:fill="auto"/>
            <w:vAlign w:val="center"/>
          </w:tcPr>
          <w:p w14:paraId="21E8610B">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供应商给出主板支持的CPU 和内存的型号数量</w:t>
            </w:r>
          </w:p>
        </w:tc>
        <w:tc>
          <w:tcPr>
            <w:tcW w:w="1293" w:type="dxa"/>
            <w:shd w:val="clear" w:color="auto" w:fill="auto"/>
            <w:vAlign w:val="center"/>
          </w:tcPr>
          <w:p w14:paraId="6B591AA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E164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A60E191">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07BF909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3 </w:t>
            </w:r>
          </w:p>
        </w:tc>
        <w:tc>
          <w:tcPr>
            <w:tcW w:w="1379" w:type="dxa"/>
            <w:shd w:val="clear" w:color="auto" w:fill="auto"/>
            <w:vAlign w:val="center"/>
          </w:tcPr>
          <w:p w14:paraId="32603C8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  产品规格</w:t>
            </w:r>
          </w:p>
        </w:tc>
        <w:tc>
          <w:tcPr>
            <w:tcW w:w="832" w:type="dxa"/>
            <w:shd w:val="clear" w:color="auto" w:fill="auto"/>
            <w:vAlign w:val="center"/>
          </w:tcPr>
          <w:p w14:paraId="7D0B8E0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*主板规格</w:t>
            </w:r>
          </w:p>
        </w:tc>
        <w:tc>
          <w:tcPr>
            <w:tcW w:w="1343" w:type="dxa"/>
            <w:shd w:val="clear" w:color="auto" w:fill="auto"/>
            <w:vAlign w:val="center"/>
          </w:tcPr>
          <w:p w14:paraId="68EEA75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*主板内存槽数量</w:t>
            </w:r>
          </w:p>
        </w:tc>
        <w:tc>
          <w:tcPr>
            <w:tcW w:w="3548" w:type="dxa"/>
            <w:shd w:val="clear" w:color="auto" w:fill="auto"/>
            <w:vAlign w:val="center"/>
          </w:tcPr>
          <w:p w14:paraId="2F5CB03D">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非板载内存的可扩展插槽数量不少于 4 个</w:t>
            </w:r>
          </w:p>
        </w:tc>
        <w:tc>
          <w:tcPr>
            <w:tcW w:w="1293" w:type="dxa"/>
            <w:shd w:val="clear" w:color="auto" w:fill="auto"/>
            <w:vAlign w:val="center"/>
          </w:tcPr>
          <w:p w14:paraId="7F9B46D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208DA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51B4AC8">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ACBC56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4 </w:t>
            </w:r>
          </w:p>
        </w:tc>
        <w:tc>
          <w:tcPr>
            <w:tcW w:w="1379" w:type="dxa"/>
            <w:shd w:val="clear" w:color="auto" w:fill="auto"/>
            <w:vAlign w:val="center"/>
          </w:tcPr>
          <w:p w14:paraId="1E0D1D6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  产品规格</w:t>
            </w:r>
          </w:p>
        </w:tc>
        <w:tc>
          <w:tcPr>
            <w:tcW w:w="832" w:type="dxa"/>
            <w:shd w:val="clear" w:color="auto" w:fill="auto"/>
            <w:vAlign w:val="center"/>
          </w:tcPr>
          <w:p w14:paraId="2CEEF1B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*主板规格</w:t>
            </w:r>
          </w:p>
        </w:tc>
        <w:tc>
          <w:tcPr>
            <w:tcW w:w="1343" w:type="dxa"/>
            <w:shd w:val="clear" w:color="auto" w:fill="auto"/>
            <w:vAlign w:val="center"/>
          </w:tcPr>
          <w:p w14:paraId="2D2348A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*主板存储接口</w:t>
            </w:r>
          </w:p>
        </w:tc>
        <w:tc>
          <w:tcPr>
            <w:tcW w:w="3548" w:type="dxa"/>
            <w:shd w:val="clear" w:color="auto" w:fill="auto"/>
            <w:vAlign w:val="center"/>
          </w:tcPr>
          <w:p w14:paraId="0C17D4F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至少支持 SATA、SAS、M.2、U.2 等存储接口中的 1 种</w:t>
            </w:r>
          </w:p>
        </w:tc>
        <w:tc>
          <w:tcPr>
            <w:tcW w:w="1293" w:type="dxa"/>
            <w:shd w:val="clear" w:color="auto" w:fill="auto"/>
            <w:vAlign w:val="center"/>
          </w:tcPr>
          <w:p w14:paraId="7154CB2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0131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EBCCADB">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458E024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5 </w:t>
            </w:r>
          </w:p>
        </w:tc>
        <w:tc>
          <w:tcPr>
            <w:tcW w:w="1379" w:type="dxa"/>
            <w:shd w:val="clear" w:color="auto" w:fill="auto"/>
            <w:vAlign w:val="center"/>
          </w:tcPr>
          <w:p w14:paraId="242B919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  产品规格</w:t>
            </w:r>
          </w:p>
        </w:tc>
        <w:tc>
          <w:tcPr>
            <w:tcW w:w="832" w:type="dxa"/>
            <w:shd w:val="clear" w:color="auto" w:fill="auto"/>
            <w:vAlign w:val="center"/>
          </w:tcPr>
          <w:p w14:paraId="5B0CAFA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*主板规格</w:t>
            </w:r>
          </w:p>
        </w:tc>
        <w:tc>
          <w:tcPr>
            <w:tcW w:w="1343" w:type="dxa"/>
            <w:shd w:val="clear" w:color="auto" w:fill="auto"/>
            <w:vAlign w:val="center"/>
          </w:tcPr>
          <w:p w14:paraId="44CCD5C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*PCIe 插槽接口</w:t>
            </w:r>
          </w:p>
        </w:tc>
        <w:tc>
          <w:tcPr>
            <w:tcW w:w="3548" w:type="dxa"/>
            <w:shd w:val="clear" w:color="auto" w:fill="auto"/>
            <w:vAlign w:val="center"/>
          </w:tcPr>
          <w:p w14:paraId="48465A28">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符合 PCIe3.0 或以上的高速串行计算机扩展总线标准，PCIe 的接口速率与位宽需保证向下兼容</w:t>
            </w:r>
          </w:p>
        </w:tc>
        <w:tc>
          <w:tcPr>
            <w:tcW w:w="1293" w:type="dxa"/>
            <w:shd w:val="clear" w:color="auto" w:fill="auto"/>
            <w:vAlign w:val="center"/>
          </w:tcPr>
          <w:p w14:paraId="4673BFE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349E0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A74BB0C">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00AACF2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6 </w:t>
            </w:r>
          </w:p>
        </w:tc>
        <w:tc>
          <w:tcPr>
            <w:tcW w:w="1379" w:type="dxa"/>
            <w:shd w:val="clear" w:color="auto" w:fill="auto"/>
            <w:vAlign w:val="center"/>
          </w:tcPr>
          <w:p w14:paraId="188A6B0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  产品规格</w:t>
            </w:r>
          </w:p>
        </w:tc>
        <w:tc>
          <w:tcPr>
            <w:tcW w:w="832" w:type="dxa"/>
            <w:shd w:val="clear" w:color="auto" w:fill="auto"/>
            <w:vAlign w:val="center"/>
          </w:tcPr>
          <w:p w14:paraId="7876EAD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*主板规格</w:t>
            </w:r>
          </w:p>
        </w:tc>
        <w:tc>
          <w:tcPr>
            <w:tcW w:w="1343" w:type="dxa"/>
            <w:shd w:val="clear" w:color="auto" w:fill="auto"/>
            <w:vAlign w:val="center"/>
          </w:tcPr>
          <w:p w14:paraId="6C677766">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*主板 PCIe插槽数量及规格</w:t>
            </w:r>
          </w:p>
        </w:tc>
        <w:tc>
          <w:tcPr>
            <w:tcW w:w="3548" w:type="dxa"/>
            <w:shd w:val="clear" w:color="auto" w:fill="auto"/>
            <w:vAlign w:val="center"/>
          </w:tcPr>
          <w:p w14:paraId="600CEF5A">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 xml:space="preserve">高度大于44.45mm 双路或以上服务器 PCIe 插槽或接口不少于 5个 </w:t>
            </w:r>
          </w:p>
        </w:tc>
        <w:tc>
          <w:tcPr>
            <w:tcW w:w="1293" w:type="dxa"/>
            <w:shd w:val="clear" w:color="auto" w:fill="auto"/>
            <w:vAlign w:val="center"/>
          </w:tcPr>
          <w:p w14:paraId="144D0FC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1B0E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9732D24">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205FAF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7 </w:t>
            </w:r>
          </w:p>
        </w:tc>
        <w:tc>
          <w:tcPr>
            <w:tcW w:w="1379" w:type="dxa"/>
            <w:shd w:val="clear" w:color="auto" w:fill="auto"/>
            <w:vAlign w:val="center"/>
          </w:tcPr>
          <w:p w14:paraId="40226A4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  产品规格</w:t>
            </w:r>
          </w:p>
        </w:tc>
        <w:tc>
          <w:tcPr>
            <w:tcW w:w="832" w:type="dxa"/>
            <w:shd w:val="clear" w:color="auto" w:fill="auto"/>
            <w:vAlign w:val="center"/>
          </w:tcPr>
          <w:p w14:paraId="114F88A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*主板规格</w:t>
            </w:r>
          </w:p>
        </w:tc>
        <w:tc>
          <w:tcPr>
            <w:tcW w:w="1343" w:type="dxa"/>
            <w:shd w:val="clear" w:color="auto" w:fill="auto"/>
            <w:vAlign w:val="center"/>
          </w:tcPr>
          <w:p w14:paraId="63AE9E1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特殊孔位及接口</w:t>
            </w:r>
          </w:p>
        </w:tc>
        <w:tc>
          <w:tcPr>
            <w:tcW w:w="3548" w:type="dxa"/>
            <w:shd w:val="clear" w:color="auto" w:fill="auto"/>
            <w:vAlign w:val="center"/>
          </w:tcPr>
          <w:p w14:paraId="42D9BDE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a)服务器机箱内主板可根据用户实际使用需求支持安装多功能导入装置板卡，机箱内需预留多功能导入装置板卡安装位置，容量不小于55mm×45mm×15mm（长×宽×高，单位毫米）；</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b)服务器主板可根据用户实际使用需求预留满足 USB2.0 或 USB3.0 数据传输规范的接口，工作电压 5V，采用 USB2.0 时，最大过电流应不小于 0.5A，采用 USB3.0 时，最大过电流应不小于 1A</w:t>
            </w:r>
          </w:p>
        </w:tc>
        <w:tc>
          <w:tcPr>
            <w:tcW w:w="1293" w:type="dxa"/>
            <w:shd w:val="clear" w:color="auto" w:fill="auto"/>
            <w:vAlign w:val="center"/>
          </w:tcPr>
          <w:p w14:paraId="469B551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490B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072602A">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57F605B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8 </w:t>
            </w:r>
          </w:p>
        </w:tc>
        <w:tc>
          <w:tcPr>
            <w:tcW w:w="1379" w:type="dxa"/>
            <w:shd w:val="clear" w:color="auto" w:fill="auto"/>
            <w:vAlign w:val="center"/>
          </w:tcPr>
          <w:p w14:paraId="519BA47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  产品规格</w:t>
            </w:r>
          </w:p>
        </w:tc>
        <w:tc>
          <w:tcPr>
            <w:tcW w:w="832" w:type="dxa"/>
            <w:shd w:val="clear" w:color="auto" w:fill="auto"/>
            <w:vAlign w:val="center"/>
          </w:tcPr>
          <w:p w14:paraId="7114756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*主板规格</w:t>
            </w:r>
          </w:p>
        </w:tc>
        <w:tc>
          <w:tcPr>
            <w:tcW w:w="1343" w:type="dxa"/>
            <w:shd w:val="clear" w:color="auto" w:fill="auto"/>
            <w:vAlign w:val="center"/>
          </w:tcPr>
          <w:p w14:paraId="49EE975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板载网络接口</w:t>
            </w:r>
          </w:p>
        </w:tc>
        <w:tc>
          <w:tcPr>
            <w:tcW w:w="3548" w:type="dxa"/>
            <w:shd w:val="clear" w:color="auto" w:fill="auto"/>
            <w:vAlign w:val="center"/>
          </w:tcPr>
          <w:p w14:paraId="1DF5747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若支持板载网络接口应不少于 1 个1GE 网口</w:t>
            </w:r>
          </w:p>
        </w:tc>
        <w:tc>
          <w:tcPr>
            <w:tcW w:w="1293" w:type="dxa"/>
            <w:shd w:val="clear" w:color="auto" w:fill="auto"/>
            <w:vAlign w:val="center"/>
          </w:tcPr>
          <w:p w14:paraId="17FC430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778F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75BF3B5">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D7B148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9 </w:t>
            </w:r>
          </w:p>
        </w:tc>
        <w:tc>
          <w:tcPr>
            <w:tcW w:w="1379" w:type="dxa"/>
            <w:shd w:val="clear" w:color="auto" w:fill="auto"/>
            <w:vAlign w:val="center"/>
          </w:tcPr>
          <w:p w14:paraId="3BF1A22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  产品规格</w:t>
            </w:r>
          </w:p>
        </w:tc>
        <w:tc>
          <w:tcPr>
            <w:tcW w:w="832" w:type="dxa"/>
            <w:shd w:val="clear" w:color="auto" w:fill="auto"/>
            <w:vAlign w:val="center"/>
          </w:tcPr>
          <w:p w14:paraId="54ECDFF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*主板规格</w:t>
            </w:r>
          </w:p>
        </w:tc>
        <w:tc>
          <w:tcPr>
            <w:tcW w:w="1343" w:type="dxa"/>
            <w:shd w:val="clear" w:color="auto" w:fill="auto"/>
            <w:vAlign w:val="center"/>
          </w:tcPr>
          <w:p w14:paraId="2C76B33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 OCP 插槽数量</w:t>
            </w:r>
          </w:p>
        </w:tc>
        <w:tc>
          <w:tcPr>
            <w:tcW w:w="3548" w:type="dxa"/>
            <w:shd w:val="clear" w:color="auto" w:fill="auto"/>
            <w:vAlign w:val="center"/>
          </w:tcPr>
          <w:p w14:paraId="685ED98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支持 OCP2.0 及以上插槽的数量不少于 1 个</w:t>
            </w:r>
          </w:p>
        </w:tc>
        <w:tc>
          <w:tcPr>
            <w:tcW w:w="1293" w:type="dxa"/>
            <w:shd w:val="clear" w:color="auto" w:fill="auto"/>
            <w:vAlign w:val="center"/>
          </w:tcPr>
          <w:p w14:paraId="5D7112D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DF40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74" w:type="dxa"/>
            <w:shd w:val="clear" w:color="auto" w:fill="auto"/>
            <w:vAlign w:val="center"/>
          </w:tcPr>
          <w:p w14:paraId="010C5CDD">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84E477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10 </w:t>
            </w:r>
          </w:p>
        </w:tc>
        <w:tc>
          <w:tcPr>
            <w:tcW w:w="1379" w:type="dxa"/>
            <w:shd w:val="clear" w:color="auto" w:fill="auto"/>
            <w:vAlign w:val="center"/>
          </w:tcPr>
          <w:p w14:paraId="0C5185A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5411DEE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*内存规格</w:t>
            </w:r>
          </w:p>
        </w:tc>
        <w:tc>
          <w:tcPr>
            <w:tcW w:w="1343" w:type="dxa"/>
            <w:shd w:val="clear" w:color="auto" w:fill="auto"/>
            <w:vAlign w:val="center"/>
          </w:tcPr>
          <w:p w14:paraId="4801F87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*内存数量</w:t>
            </w:r>
          </w:p>
        </w:tc>
        <w:tc>
          <w:tcPr>
            <w:tcW w:w="3548" w:type="dxa"/>
            <w:shd w:val="clear" w:color="auto" w:fill="auto"/>
            <w:vAlign w:val="center"/>
          </w:tcPr>
          <w:p w14:paraId="50A5CB4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≥8</w:t>
            </w:r>
          </w:p>
        </w:tc>
        <w:tc>
          <w:tcPr>
            <w:tcW w:w="1293" w:type="dxa"/>
            <w:shd w:val="clear" w:color="auto" w:fill="auto"/>
            <w:vAlign w:val="center"/>
          </w:tcPr>
          <w:p w14:paraId="6EE5B51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173BA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8EEB15D">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7A9472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11 </w:t>
            </w:r>
          </w:p>
        </w:tc>
        <w:tc>
          <w:tcPr>
            <w:tcW w:w="1379" w:type="dxa"/>
            <w:shd w:val="clear" w:color="auto" w:fill="auto"/>
            <w:vAlign w:val="center"/>
          </w:tcPr>
          <w:p w14:paraId="2CA28BD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11FF1AB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*内存规格</w:t>
            </w:r>
          </w:p>
        </w:tc>
        <w:tc>
          <w:tcPr>
            <w:tcW w:w="1343" w:type="dxa"/>
            <w:shd w:val="clear" w:color="auto" w:fill="auto"/>
            <w:vAlign w:val="center"/>
          </w:tcPr>
          <w:p w14:paraId="0600C89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*内存规格</w:t>
            </w:r>
          </w:p>
        </w:tc>
        <w:tc>
          <w:tcPr>
            <w:tcW w:w="3548" w:type="dxa"/>
            <w:shd w:val="clear" w:color="auto" w:fill="auto"/>
            <w:vAlign w:val="center"/>
          </w:tcPr>
          <w:p w14:paraId="7BAEA82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≥DDR4</w:t>
            </w:r>
          </w:p>
        </w:tc>
        <w:tc>
          <w:tcPr>
            <w:tcW w:w="1293" w:type="dxa"/>
            <w:shd w:val="clear" w:color="auto" w:fill="auto"/>
            <w:vAlign w:val="center"/>
          </w:tcPr>
          <w:p w14:paraId="2BC998C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469D1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9AF5939">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6C54BA9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12 </w:t>
            </w:r>
          </w:p>
        </w:tc>
        <w:tc>
          <w:tcPr>
            <w:tcW w:w="1379" w:type="dxa"/>
            <w:shd w:val="clear" w:color="auto" w:fill="auto"/>
            <w:vAlign w:val="center"/>
          </w:tcPr>
          <w:p w14:paraId="3572983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418F87A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*内存规格</w:t>
            </w:r>
          </w:p>
        </w:tc>
        <w:tc>
          <w:tcPr>
            <w:tcW w:w="1343" w:type="dxa"/>
            <w:shd w:val="clear" w:color="auto" w:fill="auto"/>
            <w:vAlign w:val="center"/>
          </w:tcPr>
          <w:p w14:paraId="21D2B56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*内存通道</w:t>
            </w:r>
          </w:p>
        </w:tc>
        <w:tc>
          <w:tcPr>
            <w:tcW w:w="3548" w:type="dxa"/>
            <w:shd w:val="clear" w:color="auto" w:fill="auto"/>
            <w:vAlign w:val="center"/>
          </w:tcPr>
          <w:p w14:paraId="691C6E49">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支持多个内存接口通道，每个通道可支持 1DPC 或 2DPC，当支持 2DPC时，印制电路板上应具备插槽的序号标识，具体通道数应在随机文件中明确</w:t>
            </w:r>
          </w:p>
        </w:tc>
        <w:tc>
          <w:tcPr>
            <w:tcW w:w="1293" w:type="dxa"/>
            <w:shd w:val="clear" w:color="auto" w:fill="auto"/>
            <w:vAlign w:val="center"/>
          </w:tcPr>
          <w:p w14:paraId="076D915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44D8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510E653">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5C659B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13 </w:t>
            </w:r>
          </w:p>
        </w:tc>
        <w:tc>
          <w:tcPr>
            <w:tcW w:w="1379" w:type="dxa"/>
            <w:shd w:val="clear" w:color="auto" w:fill="auto"/>
            <w:vAlign w:val="center"/>
          </w:tcPr>
          <w:p w14:paraId="2845134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687F9C2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*存储规格</w:t>
            </w:r>
          </w:p>
        </w:tc>
        <w:tc>
          <w:tcPr>
            <w:tcW w:w="1343" w:type="dxa"/>
            <w:shd w:val="clear" w:color="auto" w:fill="auto"/>
            <w:vAlign w:val="center"/>
          </w:tcPr>
          <w:p w14:paraId="7000165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硬盘类型</w:t>
            </w:r>
          </w:p>
        </w:tc>
        <w:tc>
          <w:tcPr>
            <w:tcW w:w="3548" w:type="dxa"/>
            <w:shd w:val="clear" w:color="auto" w:fill="auto"/>
            <w:vAlign w:val="center"/>
          </w:tcPr>
          <w:p w14:paraId="0416918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供应商给出服务器支持硬磁盘和固态盘类型及规格</w:t>
            </w:r>
          </w:p>
        </w:tc>
        <w:tc>
          <w:tcPr>
            <w:tcW w:w="1293" w:type="dxa"/>
            <w:shd w:val="clear" w:color="auto" w:fill="auto"/>
            <w:vAlign w:val="center"/>
          </w:tcPr>
          <w:p w14:paraId="0B8E35B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24BD1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100CE60">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4F80CE7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14 </w:t>
            </w:r>
          </w:p>
        </w:tc>
        <w:tc>
          <w:tcPr>
            <w:tcW w:w="1379" w:type="dxa"/>
            <w:shd w:val="clear" w:color="auto" w:fill="auto"/>
            <w:vAlign w:val="center"/>
          </w:tcPr>
          <w:p w14:paraId="39E8A69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35B0A0A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*存储规格</w:t>
            </w:r>
          </w:p>
        </w:tc>
        <w:tc>
          <w:tcPr>
            <w:tcW w:w="1343" w:type="dxa"/>
            <w:shd w:val="clear" w:color="auto" w:fill="auto"/>
            <w:vAlign w:val="center"/>
          </w:tcPr>
          <w:p w14:paraId="71EDA04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*硬磁盘实配容量</w:t>
            </w:r>
          </w:p>
        </w:tc>
        <w:tc>
          <w:tcPr>
            <w:tcW w:w="3548" w:type="dxa"/>
            <w:shd w:val="clear" w:color="auto" w:fill="auto"/>
            <w:vAlign w:val="center"/>
          </w:tcPr>
          <w:p w14:paraId="67F83B5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a)配备硬磁盘，服务器提供的实配硬磁盘可用容量应不小于 8TB     b)配备固态盘，实配固态盘单盘可用容量不小于 960GB</w:t>
            </w:r>
          </w:p>
        </w:tc>
        <w:tc>
          <w:tcPr>
            <w:tcW w:w="1293" w:type="dxa"/>
            <w:shd w:val="clear" w:color="auto" w:fill="auto"/>
            <w:vAlign w:val="center"/>
          </w:tcPr>
          <w:p w14:paraId="1247618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2035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5B90256">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0D1D47E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15 </w:t>
            </w:r>
          </w:p>
        </w:tc>
        <w:tc>
          <w:tcPr>
            <w:tcW w:w="1379" w:type="dxa"/>
            <w:shd w:val="clear" w:color="auto" w:fill="auto"/>
            <w:vAlign w:val="center"/>
          </w:tcPr>
          <w:p w14:paraId="714F9AD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156D280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*存储规格</w:t>
            </w:r>
          </w:p>
        </w:tc>
        <w:tc>
          <w:tcPr>
            <w:tcW w:w="1343" w:type="dxa"/>
            <w:shd w:val="clear" w:color="auto" w:fill="auto"/>
            <w:vAlign w:val="center"/>
          </w:tcPr>
          <w:p w14:paraId="32BDE81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硬盘接口类型</w:t>
            </w:r>
          </w:p>
        </w:tc>
        <w:tc>
          <w:tcPr>
            <w:tcW w:w="3548" w:type="dxa"/>
            <w:shd w:val="clear" w:color="auto" w:fill="auto"/>
            <w:vAlign w:val="center"/>
          </w:tcPr>
          <w:p w14:paraId="70165713">
            <w:pPr>
              <w:keepNext w:val="0"/>
              <w:keepLines w:val="0"/>
              <w:widowControl/>
              <w:suppressLineNumbers w:val="0"/>
              <w:jc w:val="left"/>
              <w:textAlignment w:val="center"/>
              <w:rPr>
                <w:rFonts w:ascii="宋体" w:hAnsi="宋体" w:eastAsia="宋体" w:cs="仿宋"/>
                <w:sz w:val="20"/>
                <w:szCs w:val="20"/>
                <w:lang w:val="en-US"/>
              </w:rPr>
            </w:pPr>
            <w:r>
              <w:rPr>
                <w:rFonts w:hint="eastAsia" w:ascii="黑体" w:hAnsi="宋体" w:eastAsia="黑体" w:cs="黑体"/>
                <w:i w:val="0"/>
                <w:iCs w:val="0"/>
                <w:color w:val="000000"/>
                <w:kern w:val="0"/>
                <w:sz w:val="16"/>
                <w:szCs w:val="16"/>
                <w:u w:val="none"/>
                <w:lang w:val="en-US" w:eastAsia="zh-CN" w:bidi="ar"/>
              </w:rPr>
              <w:t>a)配备硬磁盘，应提供 SAS 3.0或 SATA 3.0 及以上接口；</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b)配备固态盘，应提供至少 1 种类型固态盘接口，如 UFS、SATA、PCIe等</w:t>
            </w:r>
          </w:p>
        </w:tc>
        <w:tc>
          <w:tcPr>
            <w:tcW w:w="1293" w:type="dxa"/>
            <w:shd w:val="clear" w:color="auto" w:fill="auto"/>
            <w:vAlign w:val="center"/>
          </w:tcPr>
          <w:p w14:paraId="19ED997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493EC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A2FFC62">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56AEB19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16 </w:t>
            </w:r>
          </w:p>
        </w:tc>
        <w:tc>
          <w:tcPr>
            <w:tcW w:w="1379" w:type="dxa"/>
            <w:shd w:val="clear" w:color="auto" w:fill="auto"/>
            <w:vAlign w:val="center"/>
          </w:tcPr>
          <w:p w14:paraId="03971D1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2B96305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*存储规格</w:t>
            </w:r>
          </w:p>
        </w:tc>
        <w:tc>
          <w:tcPr>
            <w:tcW w:w="1343" w:type="dxa"/>
            <w:shd w:val="clear" w:color="auto" w:fill="auto"/>
            <w:vAlign w:val="center"/>
          </w:tcPr>
          <w:p w14:paraId="04B1F9C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*硬盘实配数量</w:t>
            </w:r>
          </w:p>
        </w:tc>
        <w:tc>
          <w:tcPr>
            <w:tcW w:w="3548" w:type="dxa"/>
            <w:shd w:val="clear" w:color="auto" w:fill="auto"/>
            <w:vAlign w:val="center"/>
          </w:tcPr>
          <w:p w14:paraId="3938BC2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a)配备硬磁盘，服务器提供的实配硬磁盘数量应不小于 6 块</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b)配备固态盘，实配盘数应不小于 2 块</w:t>
            </w:r>
          </w:p>
        </w:tc>
        <w:tc>
          <w:tcPr>
            <w:tcW w:w="1293" w:type="dxa"/>
            <w:shd w:val="clear" w:color="auto" w:fill="auto"/>
            <w:vAlign w:val="center"/>
          </w:tcPr>
          <w:p w14:paraId="2AD659B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3C6DC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7368397">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0771475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17 </w:t>
            </w:r>
          </w:p>
        </w:tc>
        <w:tc>
          <w:tcPr>
            <w:tcW w:w="1379" w:type="dxa"/>
            <w:shd w:val="clear" w:color="auto" w:fill="auto"/>
            <w:vAlign w:val="center"/>
          </w:tcPr>
          <w:p w14:paraId="648B2E5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4FB5324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*存储规格</w:t>
            </w:r>
          </w:p>
        </w:tc>
        <w:tc>
          <w:tcPr>
            <w:tcW w:w="1343" w:type="dxa"/>
            <w:shd w:val="clear" w:color="auto" w:fill="auto"/>
            <w:vAlign w:val="center"/>
          </w:tcPr>
          <w:p w14:paraId="270E540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*硬盘插槽数量及规格</w:t>
            </w:r>
          </w:p>
        </w:tc>
        <w:tc>
          <w:tcPr>
            <w:tcW w:w="3548" w:type="dxa"/>
            <w:shd w:val="clear" w:color="auto" w:fill="auto"/>
            <w:vAlign w:val="center"/>
          </w:tcPr>
          <w:p w14:paraId="48380FD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a) 供应商给出配置的硬盘尺寸，如 2.5 英寸、3.5 英寸硬磁盘；</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b) 机箱高度为 88.9mm 的服务器可支持的硬盘数量不少于 8 块，机箱高度为 44.45mm 的服务器可支持的硬盘数量不少于 8 块。</w:t>
            </w:r>
          </w:p>
        </w:tc>
        <w:tc>
          <w:tcPr>
            <w:tcW w:w="1293" w:type="dxa"/>
            <w:shd w:val="clear" w:color="auto" w:fill="auto"/>
            <w:vAlign w:val="center"/>
          </w:tcPr>
          <w:p w14:paraId="6916093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09E6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DD4994F">
            <w:pPr>
              <w:keepNext w:val="0"/>
              <w:keepLines w:val="0"/>
              <w:widowControl/>
              <w:suppressLineNumbers w:val="0"/>
              <w:jc w:val="center"/>
              <w:textAlignment w:val="center"/>
              <w:rPr>
                <w:rFonts w:ascii="宋体" w:hAnsi="宋体" w:eastAsia="宋体" w:cs="仿宋"/>
                <w:sz w:val="20"/>
                <w:szCs w:val="20"/>
              </w:rPr>
            </w:pPr>
            <w:r>
              <w:rPr>
                <w:rFonts w:hint="default" w:ascii="Arial" w:hAnsi="Arial" w:eastAsia="宋体" w:cs="Arial"/>
                <w:i w:val="0"/>
                <w:iCs w:val="0"/>
                <w:color w:val="000000"/>
                <w:kern w:val="0"/>
                <w:sz w:val="22"/>
                <w:szCs w:val="22"/>
                <w:u w:val="none"/>
                <w:lang w:val="en-US" w:eastAsia="zh-CN" w:bidi="ar"/>
              </w:rPr>
              <w:t>★</w:t>
            </w:r>
          </w:p>
        </w:tc>
        <w:tc>
          <w:tcPr>
            <w:tcW w:w="628" w:type="dxa"/>
            <w:shd w:val="clear" w:color="auto" w:fill="auto"/>
            <w:vAlign w:val="center"/>
          </w:tcPr>
          <w:p w14:paraId="52317E2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18 </w:t>
            </w:r>
          </w:p>
        </w:tc>
        <w:tc>
          <w:tcPr>
            <w:tcW w:w="1379" w:type="dxa"/>
            <w:shd w:val="clear" w:color="auto" w:fill="auto"/>
            <w:vAlign w:val="center"/>
          </w:tcPr>
          <w:p w14:paraId="54051C5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1EFDA54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*存储规格</w:t>
            </w:r>
          </w:p>
        </w:tc>
        <w:tc>
          <w:tcPr>
            <w:tcW w:w="1343" w:type="dxa"/>
            <w:shd w:val="clear" w:color="auto" w:fill="auto"/>
            <w:vAlign w:val="center"/>
          </w:tcPr>
          <w:p w14:paraId="2EB01B9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硬盘其他参数要求</w:t>
            </w:r>
          </w:p>
        </w:tc>
        <w:tc>
          <w:tcPr>
            <w:tcW w:w="3548" w:type="dxa"/>
            <w:shd w:val="clear" w:color="auto" w:fill="auto"/>
            <w:vAlign w:val="center"/>
          </w:tcPr>
          <w:p w14:paraId="7776106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11430</wp:posOffset>
                  </wp:positionH>
                  <wp:positionV relativeFrom="paragraph">
                    <wp:posOffset>471805</wp:posOffset>
                  </wp:positionV>
                  <wp:extent cx="76835" cy="47625"/>
                  <wp:effectExtent l="0" t="0" r="0" b="0"/>
                  <wp:wrapNone/>
                  <wp:docPr id="37" name="textbox1"/>
                  <wp:cNvGraphicFramePr/>
                  <a:graphic xmlns:a="http://schemas.openxmlformats.org/drawingml/2006/main">
                    <a:graphicData uri="http://schemas.openxmlformats.org/drawingml/2006/picture">
                      <pic:pic xmlns:pic="http://schemas.openxmlformats.org/drawingml/2006/picture">
                        <pic:nvPicPr>
                          <pic:cNvPr id="37" name="textbox1"/>
                          <pic:cNvPicPr/>
                        </pic:nvPicPr>
                        <pic:blipFill>
                          <a:blip r:embed="rId16"/>
                          <a:stretch>
                            <a:fillRect/>
                          </a:stretch>
                        </pic:blipFill>
                        <pic:spPr>
                          <a:xfrm>
                            <a:off x="0" y="0"/>
                            <a:ext cx="76835" cy="47625"/>
                          </a:xfrm>
                          <a:prstGeom prst="rect">
                            <a:avLst/>
                          </a:prstGeom>
                          <a:noFill/>
                          <a:ln>
                            <a:noFill/>
                          </a:ln>
                        </pic:spPr>
                      </pic:pic>
                    </a:graphicData>
                  </a:graphic>
                </wp:anchor>
              </w:drawing>
            </w:r>
            <w:r>
              <w:rPr>
                <w:rFonts w:hint="eastAsia" w:ascii="黑体" w:hAnsi="宋体" w:eastAsia="黑体" w:cs="黑体"/>
                <w:i w:val="0"/>
                <w:iCs w:val="0"/>
                <w:color w:val="000000"/>
                <w:kern w:val="0"/>
                <w:sz w:val="16"/>
                <w:szCs w:val="16"/>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11430</wp:posOffset>
                  </wp:positionH>
                  <wp:positionV relativeFrom="paragraph">
                    <wp:posOffset>471805</wp:posOffset>
                  </wp:positionV>
                  <wp:extent cx="76835" cy="47625"/>
                  <wp:effectExtent l="0" t="0" r="0" b="0"/>
                  <wp:wrapNone/>
                  <wp:docPr id="38" name="textbox1_SpCnt_1"/>
                  <wp:cNvGraphicFramePr/>
                  <a:graphic xmlns:a="http://schemas.openxmlformats.org/drawingml/2006/main">
                    <a:graphicData uri="http://schemas.openxmlformats.org/drawingml/2006/picture">
                      <pic:pic xmlns:pic="http://schemas.openxmlformats.org/drawingml/2006/picture">
                        <pic:nvPicPr>
                          <pic:cNvPr id="38" name="textbox1_SpCnt_1"/>
                          <pic:cNvPicPr/>
                        </pic:nvPicPr>
                        <pic:blipFill>
                          <a:blip r:embed="rId16"/>
                          <a:stretch>
                            <a:fillRect/>
                          </a:stretch>
                        </pic:blipFill>
                        <pic:spPr>
                          <a:xfrm>
                            <a:off x="0" y="0"/>
                            <a:ext cx="76835" cy="47625"/>
                          </a:xfrm>
                          <a:prstGeom prst="rect">
                            <a:avLst/>
                          </a:prstGeom>
                          <a:noFill/>
                          <a:ln>
                            <a:noFill/>
                          </a:ln>
                        </pic:spPr>
                      </pic:pic>
                    </a:graphicData>
                  </a:graphic>
                </wp:anchor>
              </w:drawing>
            </w:r>
            <w:r>
              <w:rPr>
                <w:rFonts w:hint="eastAsia" w:ascii="黑体" w:hAnsi="宋体" w:eastAsia="黑体" w:cs="黑体"/>
                <w:i w:val="0"/>
                <w:iCs w:val="0"/>
                <w:color w:val="000000"/>
                <w:kern w:val="0"/>
                <w:sz w:val="16"/>
                <w:szCs w:val="16"/>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11430</wp:posOffset>
                  </wp:positionH>
                  <wp:positionV relativeFrom="paragraph">
                    <wp:posOffset>471805</wp:posOffset>
                  </wp:positionV>
                  <wp:extent cx="76835" cy="47625"/>
                  <wp:effectExtent l="0" t="0" r="0" b="0"/>
                  <wp:wrapNone/>
                  <wp:docPr id="39" name="textbox1_SpCnt_2"/>
                  <wp:cNvGraphicFramePr/>
                  <a:graphic xmlns:a="http://schemas.openxmlformats.org/drawingml/2006/main">
                    <a:graphicData uri="http://schemas.openxmlformats.org/drawingml/2006/picture">
                      <pic:pic xmlns:pic="http://schemas.openxmlformats.org/drawingml/2006/picture">
                        <pic:nvPicPr>
                          <pic:cNvPr id="39" name="textbox1_SpCnt_2"/>
                          <pic:cNvPicPr/>
                        </pic:nvPicPr>
                        <pic:blipFill>
                          <a:blip r:embed="rId16"/>
                          <a:stretch>
                            <a:fillRect/>
                          </a:stretch>
                        </pic:blipFill>
                        <pic:spPr>
                          <a:xfrm>
                            <a:off x="0" y="0"/>
                            <a:ext cx="76835" cy="47625"/>
                          </a:xfrm>
                          <a:prstGeom prst="rect">
                            <a:avLst/>
                          </a:prstGeom>
                          <a:noFill/>
                          <a:ln>
                            <a:noFill/>
                          </a:ln>
                        </pic:spPr>
                      </pic:pic>
                    </a:graphicData>
                  </a:graphic>
                </wp:anchor>
              </w:drawing>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固态盘符合 SJ/T 11654 相关规定</w:t>
            </w:r>
          </w:p>
        </w:tc>
        <w:tc>
          <w:tcPr>
            <w:tcW w:w="1293" w:type="dxa"/>
            <w:shd w:val="clear" w:color="auto" w:fill="auto"/>
            <w:vAlign w:val="center"/>
          </w:tcPr>
          <w:p w14:paraId="4C29C0B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1C70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D801FD0">
            <w:pPr>
              <w:jc w:val="center"/>
              <w:rPr>
                <w:rFonts w:ascii="宋体" w:hAnsi="宋体" w:eastAsia="宋体" w:cs="仿宋"/>
                <w:sz w:val="20"/>
                <w:szCs w:val="20"/>
              </w:rPr>
            </w:pPr>
          </w:p>
        </w:tc>
        <w:tc>
          <w:tcPr>
            <w:tcW w:w="628" w:type="dxa"/>
            <w:shd w:val="clear" w:color="auto" w:fill="auto"/>
            <w:vAlign w:val="center"/>
          </w:tcPr>
          <w:p w14:paraId="7C931F0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19 </w:t>
            </w:r>
          </w:p>
        </w:tc>
        <w:tc>
          <w:tcPr>
            <w:tcW w:w="1379" w:type="dxa"/>
            <w:shd w:val="clear" w:color="auto" w:fill="auto"/>
            <w:vAlign w:val="center"/>
          </w:tcPr>
          <w:p w14:paraId="044499E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39D4F38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RAID卡规格（若支持RAID卡）</w:t>
            </w:r>
          </w:p>
        </w:tc>
        <w:tc>
          <w:tcPr>
            <w:tcW w:w="1343" w:type="dxa"/>
            <w:shd w:val="clear" w:color="auto" w:fill="auto"/>
            <w:vAlign w:val="center"/>
          </w:tcPr>
          <w:p w14:paraId="58D7AA5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RAID 卡支持的 SAS接口数</w:t>
            </w:r>
          </w:p>
        </w:tc>
        <w:tc>
          <w:tcPr>
            <w:tcW w:w="3548" w:type="dxa"/>
            <w:shd w:val="clear" w:color="auto" w:fill="auto"/>
            <w:vAlign w:val="center"/>
          </w:tcPr>
          <w:p w14:paraId="67DD9D7F">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11430</wp:posOffset>
                  </wp:positionH>
                  <wp:positionV relativeFrom="paragraph">
                    <wp:posOffset>471805</wp:posOffset>
                  </wp:positionV>
                  <wp:extent cx="76835" cy="93345"/>
                  <wp:effectExtent l="0" t="0" r="0" b="0"/>
                  <wp:wrapNone/>
                  <wp:docPr id="40" name="textbox1_SpCnt_3"/>
                  <wp:cNvGraphicFramePr/>
                  <a:graphic xmlns:a="http://schemas.openxmlformats.org/drawingml/2006/main">
                    <a:graphicData uri="http://schemas.openxmlformats.org/drawingml/2006/picture">
                      <pic:pic xmlns:pic="http://schemas.openxmlformats.org/drawingml/2006/picture">
                        <pic:nvPicPr>
                          <pic:cNvPr id="40" name="textbox1_SpCnt_3"/>
                          <pic:cNvPicPr/>
                        </pic:nvPicPr>
                        <pic:blipFill>
                          <a:blip r:embed="rId17"/>
                          <a:stretch>
                            <a:fillRect/>
                          </a:stretch>
                        </pic:blipFill>
                        <pic:spPr>
                          <a:xfrm>
                            <a:off x="0" y="0"/>
                            <a:ext cx="76835" cy="93345"/>
                          </a:xfrm>
                          <a:prstGeom prst="rect">
                            <a:avLst/>
                          </a:prstGeom>
                          <a:noFill/>
                          <a:ln>
                            <a:noFill/>
                          </a:ln>
                        </pic:spPr>
                      </pic:pic>
                    </a:graphicData>
                  </a:graphic>
                </wp:anchor>
              </w:drawing>
            </w: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24D22DF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29B0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815CBC8">
            <w:pPr>
              <w:jc w:val="center"/>
              <w:rPr>
                <w:rFonts w:ascii="宋体" w:hAnsi="宋体" w:eastAsia="宋体" w:cs="仿宋"/>
                <w:sz w:val="20"/>
                <w:szCs w:val="20"/>
              </w:rPr>
            </w:pPr>
          </w:p>
        </w:tc>
        <w:tc>
          <w:tcPr>
            <w:tcW w:w="628" w:type="dxa"/>
            <w:shd w:val="clear" w:color="auto" w:fill="auto"/>
            <w:vAlign w:val="center"/>
          </w:tcPr>
          <w:p w14:paraId="66695DF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20 </w:t>
            </w:r>
          </w:p>
        </w:tc>
        <w:tc>
          <w:tcPr>
            <w:tcW w:w="1379" w:type="dxa"/>
            <w:shd w:val="clear" w:color="auto" w:fill="auto"/>
            <w:vAlign w:val="center"/>
          </w:tcPr>
          <w:p w14:paraId="3E79D78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671D27E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SAS 直通卡规格(若支持 SAS直通卡)</w:t>
            </w:r>
          </w:p>
        </w:tc>
        <w:tc>
          <w:tcPr>
            <w:tcW w:w="1343" w:type="dxa"/>
            <w:shd w:val="clear" w:color="auto" w:fill="auto"/>
            <w:vAlign w:val="center"/>
          </w:tcPr>
          <w:p w14:paraId="5A9C696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SAS 直通卡 SAS 接口数量</w:t>
            </w:r>
          </w:p>
        </w:tc>
        <w:tc>
          <w:tcPr>
            <w:tcW w:w="3548" w:type="dxa"/>
            <w:shd w:val="clear" w:color="auto" w:fill="auto"/>
            <w:vAlign w:val="center"/>
          </w:tcPr>
          <w:p w14:paraId="16A06BF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083EC1B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0492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0C51390">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54032BA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21 </w:t>
            </w:r>
          </w:p>
        </w:tc>
        <w:tc>
          <w:tcPr>
            <w:tcW w:w="1379" w:type="dxa"/>
            <w:shd w:val="clear" w:color="auto" w:fill="auto"/>
            <w:vAlign w:val="center"/>
          </w:tcPr>
          <w:p w14:paraId="2D6BB66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766965D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HBA 卡规格(若支持 HBA直通卡)</w:t>
            </w:r>
          </w:p>
        </w:tc>
        <w:tc>
          <w:tcPr>
            <w:tcW w:w="1343" w:type="dxa"/>
            <w:shd w:val="clear" w:color="auto" w:fill="auto"/>
            <w:vAlign w:val="center"/>
          </w:tcPr>
          <w:p w14:paraId="63A4A1E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HBA 卡端口数量</w:t>
            </w:r>
          </w:p>
        </w:tc>
        <w:tc>
          <w:tcPr>
            <w:tcW w:w="3548" w:type="dxa"/>
            <w:shd w:val="clear" w:color="auto" w:fill="auto"/>
            <w:vAlign w:val="center"/>
          </w:tcPr>
          <w:p w14:paraId="20AC69B9">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HBA卡端口数量≥2</w:t>
            </w:r>
          </w:p>
        </w:tc>
        <w:tc>
          <w:tcPr>
            <w:tcW w:w="1293" w:type="dxa"/>
            <w:shd w:val="clear" w:color="auto" w:fill="auto"/>
            <w:vAlign w:val="center"/>
          </w:tcPr>
          <w:p w14:paraId="23C8920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45D7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37EA65B">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F5D41E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22 </w:t>
            </w:r>
          </w:p>
        </w:tc>
        <w:tc>
          <w:tcPr>
            <w:tcW w:w="1379" w:type="dxa"/>
            <w:shd w:val="clear" w:color="auto" w:fill="auto"/>
            <w:vAlign w:val="center"/>
          </w:tcPr>
          <w:p w14:paraId="09B9116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7215FDA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*网络规格</w:t>
            </w:r>
          </w:p>
        </w:tc>
        <w:tc>
          <w:tcPr>
            <w:tcW w:w="1343" w:type="dxa"/>
            <w:shd w:val="clear" w:color="auto" w:fill="auto"/>
            <w:vAlign w:val="center"/>
          </w:tcPr>
          <w:p w14:paraId="6836BFB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*网口速率和数量</w:t>
            </w:r>
          </w:p>
        </w:tc>
        <w:tc>
          <w:tcPr>
            <w:tcW w:w="3548" w:type="dxa"/>
            <w:shd w:val="clear" w:color="auto" w:fill="auto"/>
            <w:vAlign w:val="center"/>
          </w:tcPr>
          <w:p w14:paraId="7228BB67">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配备光口数量不少于4个，且网口速率不少于25GE.</w:t>
            </w:r>
          </w:p>
        </w:tc>
        <w:tc>
          <w:tcPr>
            <w:tcW w:w="1293" w:type="dxa"/>
            <w:shd w:val="clear" w:color="auto" w:fill="auto"/>
            <w:vAlign w:val="center"/>
          </w:tcPr>
          <w:p w14:paraId="0406CC3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4022C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CBE10AE">
            <w:pPr>
              <w:jc w:val="center"/>
              <w:rPr>
                <w:rFonts w:ascii="宋体" w:hAnsi="宋体" w:eastAsia="宋体" w:cs="仿宋"/>
                <w:sz w:val="20"/>
                <w:szCs w:val="20"/>
              </w:rPr>
            </w:pPr>
          </w:p>
        </w:tc>
        <w:tc>
          <w:tcPr>
            <w:tcW w:w="628" w:type="dxa"/>
            <w:shd w:val="clear" w:color="auto" w:fill="auto"/>
            <w:vAlign w:val="center"/>
          </w:tcPr>
          <w:p w14:paraId="13A2111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23 </w:t>
            </w:r>
          </w:p>
        </w:tc>
        <w:tc>
          <w:tcPr>
            <w:tcW w:w="1379" w:type="dxa"/>
            <w:shd w:val="clear" w:color="auto" w:fill="auto"/>
            <w:vAlign w:val="center"/>
          </w:tcPr>
          <w:p w14:paraId="1D2EC9E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7F97B8F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*网络规格</w:t>
            </w:r>
          </w:p>
        </w:tc>
        <w:tc>
          <w:tcPr>
            <w:tcW w:w="1343" w:type="dxa"/>
            <w:shd w:val="clear" w:color="auto" w:fill="auto"/>
            <w:vAlign w:val="center"/>
          </w:tcPr>
          <w:p w14:paraId="053593CD">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存储型服务器网口速率和数量</w:t>
            </w:r>
          </w:p>
        </w:tc>
        <w:tc>
          <w:tcPr>
            <w:tcW w:w="3548" w:type="dxa"/>
            <w:shd w:val="clear" w:color="auto" w:fill="auto"/>
            <w:vAlign w:val="center"/>
          </w:tcPr>
          <w:p w14:paraId="7A4058A9">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382DBED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242B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C996254">
            <w:pPr>
              <w:jc w:val="center"/>
              <w:rPr>
                <w:rFonts w:ascii="宋体" w:hAnsi="宋体" w:eastAsia="宋体" w:cs="仿宋"/>
                <w:sz w:val="20"/>
                <w:szCs w:val="20"/>
              </w:rPr>
            </w:pPr>
          </w:p>
        </w:tc>
        <w:tc>
          <w:tcPr>
            <w:tcW w:w="628" w:type="dxa"/>
            <w:shd w:val="clear" w:color="auto" w:fill="auto"/>
            <w:vAlign w:val="center"/>
          </w:tcPr>
          <w:p w14:paraId="1C3D684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24 </w:t>
            </w:r>
          </w:p>
        </w:tc>
        <w:tc>
          <w:tcPr>
            <w:tcW w:w="1379" w:type="dxa"/>
            <w:shd w:val="clear" w:color="auto" w:fill="auto"/>
            <w:vAlign w:val="center"/>
          </w:tcPr>
          <w:p w14:paraId="7CC3546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76C7AE3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*网络规格</w:t>
            </w:r>
          </w:p>
        </w:tc>
        <w:tc>
          <w:tcPr>
            <w:tcW w:w="1343" w:type="dxa"/>
            <w:shd w:val="clear" w:color="auto" w:fill="auto"/>
            <w:vAlign w:val="center"/>
          </w:tcPr>
          <w:p w14:paraId="4B496E9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独立网卡网口数量</w:t>
            </w:r>
          </w:p>
        </w:tc>
        <w:tc>
          <w:tcPr>
            <w:tcW w:w="3548" w:type="dxa"/>
            <w:shd w:val="clear" w:color="auto" w:fill="auto"/>
            <w:vAlign w:val="center"/>
          </w:tcPr>
          <w:p w14:paraId="7BF52695">
            <w:pPr>
              <w:keepNext w:val="0"/>
              <w:keepLines w:val="0"/>
              <w:widowControl/>
              <w:suppressLineNumbers w:val="0"/>
              <w:jc w:val="left"/>
              <w:textAlignment w:val="center"/>
              <w:rPr>
                <w:rFonts w:ascii="宋体" w:hAnsi="宋体" w:eastAsia="宋体" w:cs="仿宋"/>
                <w:sz w:val="20"/>
                <w:szCs w:val="20"/>
                <w:highlight w:val="yellow"/>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3B4D2F0F">
            <w:pPr>
              <w:keepNext w:val="0"/>
              <w:keepLines w:val="0"/>
              <w:widowControl/>
              <w:suppressLineNumbers w:val="0"/>
              <w:jc w:val="center"/>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r>
      <w:tr w14:paraId="0524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6378A24">
            <w:pPr>
              <w:jc w:val="center"/>
              <w:rPr>
                <w:rFonts w:ascii="宋体" w:hAnsi="宋体" w:eastAsia="宋体" w:cs="仿宋"/>
                <w:sz w:val="20"/>
                <w:szCs w:val="20"/>
              </w:rPr>
            </w:pPr>
          </w:p>
        </w:tc>
        <w:tc>
          <w:tcPr>
            <w:tcW w:w="628" w:type="dxa"/>
            <w:shd w:val="clear" w:color="auto" w:fill="auto"/>
            <w:vAlign w:val="center"/>
          </w:tcPr>
          <w:p w14:paraId="37B11C2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25 </w:t>
            </w:r>
          </w:p>
        </w:tc>
        <w:tc>
          <w:tcPr>
            <w:tcW w:w="1379" w:type="dxa"/>
            <w:shd w:val="clear" w:color="auto" w:fill="auto"/>
            <w:vAlign w:val="center"/>
          </w:tcPr>
          <w:p w14:paraId="3D196F0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6BF2B4B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*网络规格</w:t>
            </w:r>
          </w:p>
        </w:tc>
        <w:tc>
          <w:tcPr>
            <w:tcW w:w="1343" w:type="dxa"/>
            <w:shd w:val="clear" w:color="auto" w:fill="auto"/>
            <w:vAlign w:val="center"/>
          </w:tcPr>
          <w:p w14:paraId="4FD0E18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独立网卡接口类型</w:t>
            </w:r>
          </w:p>
        </w:tc>
        <w:tc>
          <w:tcPr>
            <w:tcW w:w="3548" w:type="dxa"/>
            <w:shd w:val="clear" w:color="auto" w:fill="auto"/>
            <w:vAlign w:val="center"/>
          </w:tcPr>
          <w:p w14:paraId="08B5C344">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160676A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3FBC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5159D69">
            <w:pPr>
              <w:jc w:val="center"/>
              <w:rPr>
                <w:rFonts w:ascii="宋体" w:hAnsi="宋体" w:eastAsia="宋体" w:cs="仿宋"/>
                <w:sz w:val="20"/>
                <w:szCs w:val="20"/>
              </w:rPr>
            </w:pPr>
          </w:p>
        </w:tc>
        <w:tc>
          <w:tcPr>
            <w:tcW w:w="628" w:type="dxa"/>
            <w:shd w:val="clear" w:color="auto" w:fill="auto"/>
            <w:vAlign w:val="center"/>
          </w:tcPr>
          <w:p w14:paraId="2448A84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26 </w:t>
            </w:r>
          </w:p>
        </w:tc>
        <w:tc>
          <w:tcPr>
            <w:tcW w:w="1379" w:type="dxa"/>
            <w:shd w:val="clear" w:color="auto" w:fill="auto"/>
            <w:vAlign w:val="center"/>
          </w:tcPr>
          <w:p w14:paraId="2F614BF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6C3C104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*网络规格</w:t>
            </w:r>
          </w:p>
        </w:tc>
        <w:tc>
          <w:tcPr>
            <w:tcW w:w="1343" w:type="dxa"/>
            <w:shd w:val="clear" w:color="auto" w:fill="auto"/>
            <w:vAlign w:val="center"/>
          </w:tcPr>
          <w:p w14:paraId="7AF1289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板载网卡接口类型</w:t>
            </w:r>
          </w:p>
        </w:tc>
        <w:tc>
          <w:tcPr>
            <w:tcW w:w="3548" w:type="dxa"/>
            <w:shd w:val="clear" w:color="auto" w:fill="auto"/>
            <w:vAlign w:val="center"/>
          </w:tcPr>
          <w:p w14:paraId="14C3EFD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204B46E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4797A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6703BED">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4BFFF4F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27 </w:t>
            </w:r>
          </w:p>
        </w:tc>
        <w:tc>
          <w:tcPr>
            <w:tcW w:w="1379" w:type="dxa"/>
            <w:shd w:val="clear" w:color="auto" w:fill="auto"/>
            <w:vAlign w:val="center"/>
          </w:tcPr>
          <w:p w14:paraId="56BB622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74102C2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*网络规格</w:t>
            </w:r>
          </w:p>
        </w:tc>
        <w:tc>
          <w:tcPr>
            <w:tcW w:w="1343" w:type="dxa"/>
            <w:shd w:val="clear" w:color="auto" w:fill="auto"/>
            <w:vAlign w:val="center"/>
          </w:tcPr>
          <w:p w14:paraId="27E8E70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*显示接口</w:t>
            </w:r>
          </w:p>
        </w:tc>
        <w:tc>
          <w:tcPr>
            <w:tcW w:w="3548" w:type="dxa"/>
            <w:shd w:val="clear" w:color="auto" w:fill="auto"/>
            <w:vAlign w:val="center"/>
          </w:tcPr>
          <w:p w14:paraId="7F6AB8B0">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显示接口类型不少于 1 种，如：VGA、DP、HDMI 等</w:t>
            </w:r>
          </w:p>
        </w:tc>
        <w:tc>
          <w:tcPr>
            <w:tcW w:w="1293" w:type="dxa"/>
            <w:shd w:val="clear" w:color="auto" w:fill="auto"/>
            <w:vAlign w:val="center"/>
          </w:tcPr>
          <w:p w14:paraId="26F38F1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7B4F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0666336">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20A2E18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28 </w:t>
            </w:r>
          </w:p>
        </w:tc>
        <w:tc>
          <w:tcPr>
            <w:tcW w:w="1379" w:type="dxa"/>
            <w:shd w:val="clear" w:color="auto" w:fill="auto"/>
            <w:vAlign w:val="center"/>
          </w:tcPr>
          <w:p w14:paraId="289A018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11713D5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*网络规格</w:t>
            </w:r>
          </w:p>
        </w:tc>
        <w:tc>
          <w:tcPr>
            <w:tcW w:w="1343" w:type="dxa"/>
            <w:shd w:val="clear" w:color="auto" w:fill="auto"/>
            <w:vAlign w:val="center"/>
          </w:tcPr>
          <w:p w14:paraId="3DCB2B5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*USB 接口</w:t>
            </w:r>
          </w:p>
        </w:tc>
        <w:tc>
          <w:tcPr>
            <w:tcW w:w="3548" w:type="dxa"/>
            <w:shd w:val="clear" w:color="auto" w:fill="auto"/>
            <w:vAlign w:val="center"/>
          </w:tcPr>
          <w:p w14:paraId="057A8A3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配备 USB 接口，如 USB2.0、USB3.0等</w:t>
            </w:r>
          </w:p>
        </w:tc>
        <w:tc>
          <w:tcPr>
            <w:tcW w:w="1293" w:type="dxa"/>
            <w:shd w:val="clear" w:color="auto" w:fill="auto"/>
            <w:vAlign w:val="center"/>
          </w:tcPr>
          <w:p w14:paraId="484421C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3A6A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7AC0B2D">
            <w:pPr>
              <w:jc w:val="center"/>
              <w:rPr>
                <w:rFonts w:ascii="宋体" w:hAnsi="宋体" w:eastAsia="宋体" w:cs="仿宋"/>
                <w:sz w:val="20"/>
                <w:szCs w:val="20"/>
              </w:rPr>
            </w:pPr>
          </w:p>
        </w:tc>
        <w:tc>
          <w:tcPr>
            <w:tcW w:w="628" w:type="dxa"/>
            <w:shd w:val="clear" w:color="auto" w:fill="auto"/>
            <w:vAlign w:val="center"/>
          </w:tcPr>
          <w:p w14:paraId="78C9616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29 </w:t>
            </w:r>
          </w:p>
        </w:tc>
        <w:tc>
          <w:tcPr>
            <w:tcW w:w="1379" w:type="dxa"/>
            <w:shd w:val="clear" w:color="auto" w:fill="auto"/>
            <w:vAlign w:val="center"/>
          </w:tcPr>
          <w:p w14:paraId="5C8BF72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690C914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*网络规格</w:t>
            </w:r>
          </w:p>
        </w:tc>
        <w:tc>
          <w:tcPr>
            <w:tcW w:w="1343" w:type="dxa"/>
            <w:shd w:val="clear" w:color="auto" w:fill="auto"/>
            <w:vAlign w:val="center"/>
          </w:tcPr>
          <w:p w14:paraId="3FD1070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特殊接口及孔位</w:t>
            </w:r>
          </w:p>
        </w:tc>
        <w:tc>
          <w:tcPr>
            <w:tcW w:w="3548" w:type="dxa"/>
            <w:shd w:val="clear" w:color="auto" w:fill="auto"/>
            <w:vAlign w:val="center"/>
          </w:tcPr>
          <w:p w14:paraId="5AEBD83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1B93F39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10FF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3479003">
            <w:pPr>
              <w:jc w:val="center"/>
              <w:rPr>
                <w:rFonts w:ascii="宋体" w:hAnsi="宋体" w:eastAsia="宋体" w:cs="仿宋"/>
                <w:sz w:val="20"/>
                <w:szCs w:val="20"/>
              </w:rPr>
            </w:pPr>
          </w:p>
        </w:tc>
        <w:tc>
          <w:tcPr>
            <w:tcW w:w="628" w:type="dxa"/>
            <w:shd w:val="clear" w:color="auto" w:fill="auto"/>
            <w:vAlign w:val="center"/>
          </w:tcPr>
          <w:p w14:paraId="478773E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30 </w:t>
            </w:r>
          </w:p>
        </w:tc>
        <w:tc>
          <w:tcPr>
            <w:tcW w:w="1379" w:type="dxa"/>
            <w:shd w:val="clear" w:color="auto" w:fill="auto"/>
            <w:vAlign w:val="top"/>
          </w:tcPr>
          <w:p w14:paraId="63FDC127">
            <w:pPr>
              <w:jc w:val="left"/>
              <w:rPr>
                <w:rFonts w:ascii="宋体" w:hAnsi="宋体" w:eastAsia="宋体" w:cs="仿宋"/>
                <w:sz w:val="20"/>
                <w:szCs w:val="20"/>
              </w:rPr>
            </w:pPr>
          </w:p>
        </w:tc>
        <w:tc>
          <w:tcPr>
            <w:tcW w:w="832" w:type="dxa"/>
            <w:shd w:val="clear" w:color="auto" w:fill="auto"/>
            <w:vAlign w:val="center"/>
          </w:tcPr>
          <w:p w14:paraId="7764ED0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*网络规格</w:t>
            </w:r>
          </w:p>
        </w:tc>
        <w:tc>
          <w:tcPr>
            <w:tcW w:w="1343" w:type="dxa"/>
            <w:shd w:val="clear" w:color="auto" w:fill="auto"/>
            <w:vAlign w:val="center"/>
          </w:tcPr>
          <w:p w14:paraId="15EB89E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其他接口</w:t>
            </w:r>
          </w:p>
        </w:tc>
        <w:tc>
          <w:tcPr>
            <w:tcW w:w="3548" w:type="dxa"/>
            <w:shd w:val="clear" w:color="auto" w:fill="auto"/>
            <w:vAlign w:val="center"/>
          </w:tcPr>
          <w:p w14:paraId="44BE5F5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583F225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1F1A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1520EC0">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23AA0BD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31 </w:t>
            </w:r>
          </w:p>
        </w:tc>
        <w:tc>
          <w:tcPr>
            <w:tcW w:w="1379" w:type="dxa"/>
            <w:shd w:val="clear" w:color="auto" w:fill="auto"/>
            <w:vAlign w:val="center"/>
          </w:tcPr>
          <w:p w14:paraId="3C21ACA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0B20B20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*电源规格</w:t>
            </w:r>
          </w:p>
        </w:tc>
        <w:tc>
          <w:tcPr>
            <w:tcW w:w="1343" w:type="dxa"/>
            <w:shd w:val="clear" w:color="auto" w:fill="auto"/>
            <w:vAlign w:val="center"/>
          </w:tcPr>
          <w:p w14:paraId="7481810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电源冗余模式</w:t>
            </w:r>
          </w:p>
        </w:tc>
        <w:tc>
          <w:tcPr>
            <w:tcW w:w="3548" w:type="dxa"/>
            <w:shd w:val="clear" w:color="auto" w:fill="auto"/>
            <w:vAlign w:val="center"/>
          </w:tcPr>
          <w:p w14:paraId="62C5463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整机电源模块按 1+1 冗余配置</w:t>
            </w:r>
          </w:p>
        </w:tc>
        <w:tc>
          <w:tcPr>
            <w:tcW w:w="1293" w:type="dxa"/>
            <w:shd w:val="clear" w:color="auto" w:fill="auto"/>
            <w:vAlign w:val="center"/>
          </w:tcPr>
          <w:p w14:paraId="581D7C3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7A902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B2C64EB">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0F25CF4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32 </w:t>
            </w:r>
          </w:p>
        </w:tc>
        <w:tc>
          <w:tcPr>
            <w:tcW w:w="1379" w:type="dxa"/>
            <w:shd w:val="clear" w:color="auto" w:fill="auto"/>
            <w:vAlign w:val="center"/>
          </w:tcPr>
          <w:p w14:paraId="5A61AE9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7FACB5B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*电源规格</w:t>
            </w:r>
          </w:p>
        </w:tc>
        <w:tc>
          <w:tcPr>
            <w:tcW w:w="1343" w:type="dxa"/>
            <w:shd w:val="clear" w:color="auto" w:fill="auto"/>
            <w:vAlign w:val="center"/>
          </w:tcPr>
          <w:p w14:paraId="4CFCBEA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*电源模块数量</w:t>
            </w:r>
          </w:p>
        </w:tc>
        <w:tc>
          <w:tcPr>
            <w:tcW w:w="3548" w:type="dxa"/>
            <w:shd w:val="clear" w:color="auto" w:fill="auto"/>
            <w:vAlign w:val="center"/>
          </w:tcPr>
          <w:p w14:paraId="6C82211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≥2</w:t>
            </w:r>
          </w:p>
        </w:tc>
        <w:tc>
          <w:tcPr>
            <w:tcW w:w="1293" w:type="dxa"/>
            <w:shd w:val="clear" w:color="auto" w:fill="auto"/>
            <w:vAlign w:val="center"/>
          </w:tcPr>
          <w:p w14:paraId="4E62083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0548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1C43D0F">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981816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33 </w:t>
            </w:r>
          </w:p>
        </w:tc>
        <w:tc>
          <w:tcPr>
            <w:tcW w:w="1379" w:type="dxa"/>
            <w:shd w:val="clear" w:color="auto" w:fill="auto"/>
            <w:vAlign w:val="center"/>
          </w:tcPr>
          <w:p w14:paraId="242D17F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59B2ACC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*电源规格</w:t>
            </w:r>
          </w:p>
        </w:tc>
        <w:tc>
          <w:tcPr>
            <w:tcW w:w="1343" w:type="dxa"/>
            <w:shd w:val="clear" w:color="auto" w:fill="auto"/>
            <w:vAlign w:val="center"/>
          </w:tcPr>
          <w:p w14:paraId="2942407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*电源功率</w:t>
            </w:r>
          </w:p>
        </w:tc>
        <w:tc>
          <w:tcPr>
            <w:tcW w:w="3548" w:type="dxa"/>
            <w:shd w:val="clear" w:color="auto" w:fill="auto"/>
            <w:vAlign w:val="center"/>
          </w:tcPr>
          <w:p w14:paraId="71A93056">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电源模块功率应有一定冗余，满足处理器满载时的需求</w:t>
            </w:r>
          </w:p>
        </w:tc>
        <w:tc>
          <w:tcPr>
            <w:tcW w:w="1293" w:type="dxa"/>
            <w:shd w:val="clear" w:color="auto" w:fill="auto"/>
            <w:vAlign w:val="center"/>
          </w:tcPr>
          <w:p w14:paraId="514B03A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6B9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DAD4D16">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5B77AA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34 </w:t>
            </w:r>
          </w:p>
        </w:tc>
        <w:tc>
          <w:tcPr>
            <w:tcW w:w="1379" w:type="dxa"/>
            <w:shd w:val="clear" w:color="auto" w:fill="auto"/>
            <w:vAlign w:val="center"/>
          </w:tcPr>
          <w:p w14:paraId="0DBF0B2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349D883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*电源规格</w:t>
            </w:r>
          </w:p>
        </w:tc>
        <w:tc>
          <w:tcPr>
            <w:tcW w:w="1343" w:type="dxa"/>
            <w:shd w:val="clear" w:color="auto" w:fill="auto"/>
            <w:vAlign w:val="center"/>
          </w:tcPr>
          <w:p w14:paraId="6E48EA3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电源指示灯</w:t>
            </w:r>
          </w:p>
        </w:tc>
        <w:tc>
          <w:tcPr>
            <w:tcW w:w="3548" w:type="dxa"/>
            <w:shd w:val="clear" w:color="auto" w:fill="auto"/>
            <w:vAlign w:val="center"/>
          </w:tcPr>
          <w:p w14:paraId="0A1A27F7">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配备电源指示灯，指示待机、工作异常等状态</w:t>
            </w:r>
          </w:p>
        </w:tc>
        <w:tc>
          <w:tcPr>
            <w:tcW w:w="1293" w:type="dxa"/>
            <w:shd w:val="clear" w:color="auto" w:fill="auto"/>
            <w:vAlign w:val="center"/>
          </w:tcPr>
          <w:p w14:paraId="29F633B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4F29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6F2C6D2">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05D669A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35 </w:t>
            </w:r>
          </w:p>
        </w:tc>
        <w:tc>
          <w:tcPr>
            <w:tcW w:w="1379" w:type="dxa"/>
            <w:shd w:val="clear" w:color="auto" w:fill="auto"/>
            <w:vAlign w:val="center"/>
          </w:tcPr>
          <w:p w14:paraId="18F354A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27D8822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*整机规格</w:t>
            </w:r>
          </w:p>
        </w:tc>
        <w:tc>
          <w:tcPr>
            <w:tcW w:w="1343" w:type="dxa"/>
            <w:shd w:val="clear" w:color="auto" w:fill="auto"/>
            <w:vAlign w:val="center"/>
          </w:tcPr>
          <w:p w14:paraId="5F2316D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*外观和结构</w:t>
            </w:r>
          </w:p>
        </w:tc>
        <w:tc>
          <w:tcPr>
            <w:tcW w:w="3548" w:type="dxa"/>
            <w:shd w:val="clear" w:color="auto" w:fill="auto"/>
            <w:vAlign w:val="center"/>
          </w:tcPr>
          <w:p w14:paraId="08FDBCDA">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a)服务器的零部件应紧固无松动，可插拔部件应可靠连接，开关、按钮和其它控制部件应灵活可靠，布局应方便使用；</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b) 产品表面不应有明显的凹痕、划伤、裂缝、变形和污染等。表面涂层均匀，不应起泡、龟裂、脱落和磨损，金属零部件无锈蚀及其它机械损伤；</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c) 产品表面说明功能的文字、符号和标志应清晰、端正且牢固；</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d) 应在服务器的显著位置提供运行状态的指示功能，并在随机文件中明确具体含义；</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e) 机架、机箱的尺寸应符合通用机柜的安装要求，插入总线插座的电路板接口外形尺寸应符合有关总线标准的规定，将机箱固定在机柜上，机箱底面最大下垂变形不得干涉相邻机体；</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f) 高密度服务器应给出 CPU 个数与机柜高度；</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g) 服务器尺寸具体要求在随机文件中明确</w:t>
            </w:r>
          </w:p>
        </w:tc>
        <w:tc>
          <w:tcPr>
            <w:tcW w:w="1293" w:type="dxa"/>
            <w:shd w:val="clear" w:color="auto" w:fill="auto"/>
            <w:vAlign w:val="center"/>
          </w:tcPr>
          <w:p w14:paraId="227E6A5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94F2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107CD74">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6CA0E2B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36 </w:t>
            </w:r>
          </w:p>
        </w:tc>
        <w:tc>
          <w:tcPr>
            <w:tcW w:w="1379" w:type="dxa"/>
            <w:shd w:val="clear" w:color="auto" w:fill="auto"/>
            <w:vAlign w:val="center"/>
          </w:tcPr>
          <w:p w14:paraId="01705FB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56C7DC5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*整机规格</w:t>
            </w:r>
          </w:p>
        </w:tc>
        <w:tc>
          <w:tcPr>
            <w:tcW w:w="1343" w:type="dxa"/>
            <w:shd w:val="clear" w:color="auto" w:fill="auto"/>
            <w:vAlign w:val="center"/>
          </w:tcPr>
          <w:p w14:paraId="2D4AE9F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*尺寸（高×宽×深）</w:t>
            </w:r>
          </w:p>
        </w:tc>
        <w:tc>
          <w:tcPr>
            <w:tcW w:w="3548" w:type="dxa"/>
            <w:shd w:val="clear" w:color="auto" w:fill="auto"/>
            <w:vAlign w:val="center"/>
          </w:tcPr>
          <w:p w14:paraId="3340FA67">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供应商给出产品尺寸；设计应遵循标准化、系列化的要求；机箱的内部结构符合通用部件的安装需要</w:t>
            </w:r>
          </w:p>
        </w:tc>
        <w:tc>
          <w:tcPr>
            <w:tcW w:w="1293" w:type="dxa"/>
            <w:shd w:val="clear" w:color="auto" w:fill="auto"/>
            <w:vAlign w:val="center"/>
          </w:tcPr>
          <w:p w14:paraId="69B4E03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4513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2EB8E66">
            <w:pPr>
              <w:jc w:val="center"/>
              <w:rPr>
                <w:rFonts w:ascii="宋体" w:hAnsi="宋体" w:eastAsia="宋体" w:cs="仿宋"/>
                <w:sz w:val="20"/>
                <w:szCs w:val="20"/>
              </w:rPr>
            </w:pPr>
          </w:p>
        </w:tc>
        <w:tc>
          <w:tcPr>
            <w:tcW w:w="628" w:type="dxa"/>
            <w:shd w:val="clear" w:color="auto" w:fill="auto"/>
            <w:vAlign w:val="center"/>
          </w:tcPr>
          <w:p w14:paraId="57CC2B6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37 </w:t>
            </w:r>
          </w:p>
        </w:tc>
        <w:tc>
          <w:tcPr>
            <w:tcW w:w="1379" w:type="dxa"/>
            <w:shd w:val="clear" w:color="auto" w:fill="auto"/>
            <w:vAlign w:val="center"/>
          </w:tcPr>
          <w:p w14:paraId="60A0A55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03A6DA1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*整机规格</w:t>
            </w:r>
          </w:p>
        </w:tc>
        <w:tc>
          <w:tcPr>
            <w:tcW w:w="1343" w:type="dxa"/>
            <w:shd w:val="clear" w:color="auto" w:fill="auto"/>
            <w:vAlign w:val="center"/>
          </w:tcPr>
          <w:p w14:paraId="17FC990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服务器导轨</w:t>
            </w:r>
          </w:p>
        </w:tc>
        <w:tc>
          <w:tcPr>
            <w:tcW w:w="3548" w:type="dxa"/>
            <w:shd w:val="clear" w:color="auto" w:fill="auto"/>
            <w:vAlign w:val="center"/>
          </w:tcPr>
          <w:p w14:paraId="61AAEDDE">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75EA159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027B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9F5F135">
            <w:pPr>
              <w:jc w:val="center"/>
              <w:rPr>
                <w:rFonts w:ascii="宋体" w:hAnsi="宋体" w:eastAsia="宋体" w:cs="仿宋"/>
                <w:sz w:val="20"/>
                <w:szCs w:val="20"/>
              </w:rPr>
            </w:pPr>
          </w:p>
        </w:tc>
        <w:tc>
          <w:tcPr>
            <w:tcW w:w="628" w:type="dxa"/>
            <w:shd w:val="clear" w:color="auto" w:fill="auto"/>
            <w:vAlign w:val="center"/>
          </w:tcPr>
          <w:p w14:paraId="49A73B3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38 </w:t>
            </w:r>
          </w:p>
        </w:tc>
        <w:tc>
          <w:tcPr>
            <w:tcW w:w="1379" w:type="dxa"/>
            <w:shd w:val="clear" w:color="auto" w:fill="auto"/>
            <w:vAlign w:val="center"/>
          </w:tcPr>
          <w:p w14:paraId="42308E4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0E946CE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*整机规格</w:t>
            </w:r>
          </w:p>
        </w:tc>
        <w:tc>
          <w:tcPr>
            <w:tcW w:w="1343" w:type="dxa"/>
            <w:shd w:val="clear" w:color="auto" w:fill="auto"/>
            <w:vAlign w:val="center"/>
          </w:tcPr>
          <w:p w14:paraId="53E8E608">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CPU 个数与机柜高度单位(U)比</w:t>
            </w:r>
          </w:p>
        </w:tc>
        <w:tc>
          <w:tcPr>
            <w:tcW w:w="3548" w:type="dxa"/>
            <w:shd w:val="clear" w:color="auto" w:fill="auto"/>
            <w:vAlign w:val="center"/>
          </w:tcPr>
          <w:p w14:paraId="67804591">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0B8210C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1AE3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227254F">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85FFBE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39 </w:t>
            </w:r>
          </w:p>
        </w:tc>
        <w:tc>
          <w:tcPr>
            <w:tcW w:w="1379" w:type="dxa"/>
            <w:shd w:val="clear" w:color="auto" w:fill="auto"/>
            <w:vAlign w:val="center"/>
          </w:tcPr>
          <w:p w14:paraId="3B7C3FF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5FCE42B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*整机规格</w:t>
            </w:r>
          </w:p>
        </w:tc>
        <w:tc>
          <w:tcPr>
            <w:tcW w:w="1343" w:type="dxa"/>
            <w:shd w:val="clear" w:color="auto" w:fill="auto"/>
            <w:vAlign w:val="center"/>
          </w:tcPr>
          <w:p w14:paraId="6729926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*环境适应性</w:t>
            </w:r>
          </w:p>
        </w:tc>
        <w:tc>
          <w:tcPr>
            <w:tcW w:w="3548" w:type="dxa"/>
            <w:shd w:val="clear" w:color="auto" w:fill="auto"/>
            <w:vAlign w:val="center"/>
          </w:tcPr>
          <w:p w14:paraId="02EDF4C5">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气候环境适应性应符合GB/T9813.3 的有关规定，工作温度 10~35℃ , 贮存运输温度-40～55℃ ; 工作相对湿度35%～80%，贮存运输相对湿度 20％～93%（40℃) ; 大气压86～106kPa</w:t>
            </w:r>
          </w:p>
        </w:tc>
        <w:tc>
          <w:tcPr>
            <w:tcW w:w="1293" w:type="dxa"/>
            <w:shd w:val="clear" w:color="auto" w:fill="auto"/>
            <w:vAlign w:val="center"/>
          </w:tcPr>
          <w:p w14:paraId="77C292F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29F41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F31B8BF">
            <w:pPr>
              <w:jc w:val="center"/>
              <w:rPr>
                <w:rFonts w:ascii="宋体" w:hAnsi="宋体" w:eastAsia="宋体" w:cs="仿宋"/>
                <w:sz w:val="20"/>
                <w:szCs w:val="20"/>
              </w:rPr>
            </w:pPr>
          </w:p>
        </w:tc>
        <w:tc>
          <w:tcPr>
            <w:tcW w:w="628" w:type="dxa"/>
            <w:shd w:val="clear" w:color="auto" w:fill="auto"/>
            <w:vAlign w:val="center"/>
          </w:tcPr>
          <w:p w14:paraId="12749CF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40 </w:t>
            </w:r>
          </w:p>
        </w:tc>
        <w:tc>
          <w:tcPr>
            <w:tcW w:w="1379" w:type="dxa"/>
            <w:shd w:val="clear" w:color="auto" w:fill="auto"/>
            <w:vAlign w:val="center"/>
          </w:tcPr>
          <w:p w14:paraId="01A28C5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6E48AEF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*整机规格</w:t>
            </w:r>
          </w:p>
        </w:tc>
        <w:tc>
          <w:tcPr>
            <w:tcW w:w="1343" w:type="dxa"/>
            <w:shd w:val="clear" w:color="auto" w:fill="auto"/>
            <w:vAlign w:val="center"/>
          </w:tcPr>
          <w:p w14:paraId="6691337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特殊机型环境适应性</w:t>
            </w:r>
          </w:p>
        </w:tc>
        <w:tc>
          <w:tcPr>
            <w:tcW w:w="3548" w:type="dxa"/>
            <w:shd w:val="clear" w:color="auto" w:fill="auto"/>
            <w:vAlign w:val="center"/>
          </w:tcPr>
          <w:p w14:paraId="0E7F679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5D2A901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2ACC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76C9FED">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D42E9E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41 </w:t>
            </w:r>
          </w:p>
        </w:tc>
        <w:tc>
          <w:tcPr>
            <w:tcW w:w="1379" w:type="dxa"/>
            <w:shd w:val="clear" w:color="auto" w:fill="auto"/>
            <w:vAlign w:val="center"/>
          </w:tcPr>
          <w:p w14:paraId="0BC73D4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0FA0626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*整机规格</w:t>
            </w:r>
          </w:p>
        </w:tc>
        <w:tc>
          <w:tcPr>
            <w:tcW w:w="1343" w:type="dxa"/>
            <w:shd w:val="clear" w:color="auto" w:fill="auto"/>
            <w:vAlign w:val="center"/>
          </w:tcPr>
          <w:p w14:paraId="50EBA75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*机械环境适应性</w:t>
            </w:r>
          </w:p>
        </w:tc>
        <w:tc>
          <w:tcPr>
            <w:tcW w:w="3548" w:type="dxa"/>
            <w:shd w:val="clear" w:color="auto" w:fill="auto"/>
            <w:vAlign w:val="center"/>
          </w:tcPr>
          <w:p w14:paraId="3678869E">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机械环境适应性应符合GB/T9813.3 的有关规定</w:t>
            </w:r>
          </w:p>
        </w:tc>
        <w:tc>
          <w:tcPr>
            <w:tcW w:w="1293" w:type="dxa"/>
            <w:shd w:val="clear" w:color="auto" w:fill="auto"/>
            <w:vAlign w:val="center"/>
          </w:tcPr>
          <w:p w14:paraId="001EA7E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440B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D832114">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5FF28B9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42 </w:t>
            </w:r>
          </w:p>
        </w:tc>
        <w:tc>
          <w:tcPr>
            <w:tcW w:w="1379" w:type="dxa"/>
            <w:shd w:val="clear" w:color="auto" w:fill="auto"/>
            <w:vAlign w:val="center"/>
          </w:tcPr>
          <w:p w14:paraId="3616B41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423CA48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*整机规格</w:t>
            </w:r>
          </w:p>
        </w:tc>
        <w:tc>
          <w:tcPr>
            <w:tcW w:w="1343" w:type="dxa"/>
            <w:shd w:val="clear" w:color="auto" w:fill="auto"/>
            <w:vAlign w:val="center"/>
          </w:tcPr>
          <w:p w14:paraId="5338963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*噪声</w:t>
            </w:r>
          </w:p>
        </w:tc>
        <w:tc>
          <w:tcPr>
            <w:tcW w:w="3548" w:type="dxa"/>
            <w:shd w:val="clear" w:color="auto" w:fill="auto"/>
            <w:vAlign w:val="center"/>
          </w:tcPr>
          <w:p w14:paraId="4CB7D705">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符合 GB/T 9813.3 的有关规定，在产品说明中给出具体测试值塔式服务器噪声在空闲状态下不大于 50dB</w:t>
            </w:r>
          </w:p>
        </w:tc>
        <w:tc>
          <w:tcPr>
            <w:tcW w:w="1293" w:type="dxa"/>
            <w:shd w:val="clear" w:color="auto" w:fill="auto"/>
            <w:vAlign w:val="center"/>
          </w:tcPr>
          <w:p w14:paraId="70434AC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0BD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4D3032E">
            <w:pPr>
              <w:jc w:val="center"/>
              <w:rPr>
                <w:rFonts w:ascii="宋体" w:hAnsi="宋体" w:eastAsia="宋体" w:cs="仿宋"/>
                <w:sz w:val="20"/>
                <w:szCs w:val="20"/>
              </w:rPr>
            </w:pPr>
          </w:p>
        </w:tc>
        <w:tc>
          <w:tcPr>
            <w:tcW w:w="628" w:type="dxa"/>
            <w:shd w:val="clear" w:color="auto" w:fill="auto"/>
            <w:vAlign w:val="center"/>
          </w:tcPr>
          <w:p w14:paraId="7EB5915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43 </w:t>
            </w:r>
          </w:p>
        </w:tc>
        <w:tc>
          <w:tcPr>
            <w:tcW w:w="1379" w:type="dxa"/>
            <w:shd w:val="clear" w:color="auto" w:fill="auto"/>
            <w:vAlign w:val="center"/>
          </w:tcPr>
          <w:p w14:paraId="5E1ACE1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5284A79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A I 计算单元规格</w:t>
            </w:r>
          </w:p>
        </w:tc>
        <w:tc>
          <w:tcPr>
            <w:tcW w:w="1343" w:type="dxa"/>
            <w:shd w:val="clear" w:color="auto" w:fill="auto"/>
            <w:vAlign w:val="center"/>
          </w:tcPr>
          <w:p w14:paraId="5504E60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A I 计算单元</w:t>
            </w:r>
          </w:p>
        </w:tc>
        <w:tc>
          <w:tcPr>
            <w:tcW w:w="3548" w:type="dxa"/>
            <w:shd w:val="clear" w:color="auto" w:fill="auto"/>
            <w:vAlign w:val="center"/>
          </w:tcPr>
          <w:p w14:paraId="0C947F7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69F0DEB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2BD39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D60FA64">
            <w:pPr>
              <w:jc w:val="center"/>
              <w:rPr>
                <w:rFonts w:ascii="宋体" w:hAnsi="宋体" w:eastAsia="宋体" w:cs="仿宋"/>
                <w:sz w:val="20"/>
                <w:szCs w:val="20"/>
              </w:rPr>
            </w:pPr>
          </w:p>
        </w:tc>
        <w:tc>
          <w:tcPr>
            <w:tcW w:w="628" w:type="dxa"/>
            <w:shd w:val="clear" w:color="auto" w:fill="auto"/>
            <w:vAlign w:val="center"/>
          </w:tcPr>
          <w:p w14:paraId="635DD95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44 </w:t>
            </w:r>
          </w:p>
        </w:tc>
        <w:tc>
          <w:tcPr>
            <w:tcW w:w="1379" w:type="dxa"/>
            <w:shd w:val="clear" w:color="auto" w:fill="auto"/>
            <w:vAlign w:val="center"/>
          </w:tcPr>
          <w:p w14:paraId="767EE41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2294DFD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A I 计算单元规格</w:t>
            </w:r>
          </w:p>
        </w:tc>
        <w:tc>
          <w:tcPr>
            <w:tcW w:w="1343" w:type="dxa"/>
            <w:shd w:val="clear" w:color="auto" w:fill="auto"/>
            <w:vAlign w:val="center"/>
          </w:tcPr>
          <w:p w14:paraId="688DA7D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一键式迁移</w:t>
            </w:r>
          </w:p>
        </w:tc>
        <w:tc>
          <w:tcPr>
            <w:tcW w:w="3548" w:type="dxa"/>
            <w:shd w:val="clear" w:color="auto" w:fill="auto"/>
            <w:vAlign w:val="center"/>
          </w:tcPr>
          <w:p w14:paraId="018ACDC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65BDCF3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1CB8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4F0B376">
            <w:pPr>
              <w:jc w:val="center"/>
              <w:rPr>
                <w:rFonts w:ascii="宋体" w:hAnsi="宋体" w:eastAsia="宋体" w:cs="仿宋"/>
                <w:sz w:val="20"/>
                <w:szCs w:val="20"/>
              </w:rPr>
            </w:pPr>
          </w:p>
        </w:tc>
        <w:tc>
          <w:tcPr>
            <w:tcW w:w="628" w:type="dxa"/>
            <w:shd w:val="clear" w:color="auto" w:fill="auto"/>
            <w:vAlign w:val="center"/>
          </w:tcPr>
          <w:p w14:paraId="4D3125F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45 </w:t>
            </w:r>
          </w:p>
        </w:tc>
        <w:tc>
          <w:tcPr>
            <w:tcW w:w="1379" w:type="dxa"/>
            <w:shd w:val="clear" w:color="auto" w:fill="auto"/>
            <w:vAlign w:val="center"/>
          </w:tcPr>
          <w:p w14:paraId="675BD76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4930115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机柜规格</w:t>
            </w:r>
          </w:p>
        </w:tc>
        <w:tc>
          <w:tcPr>
            <w:tcW w:w="1343" w:type="dxa"/>
            <w:shd w:val="clear" w:color="auto" w:fill="auto"/>
            <w:vAlign w:val="center"/>
          </w:tcPr>
          <w:p w14:paraId="4FC44D6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*机柜尺寸</w:t>
            </w:r>
          </w:p>
        </w:tc>
        <w:tc>
          <w:tcPr>
            <w:tcW w:w="3548" w:type="dxa"/>
            <w:shd w:val="clear" w:color="auto" w:fill="auto"/>
            <w:vAlign w:val="center"/>
          </w:tcPr>
          <w:p w14:paraId="5F3E1D29">
            <w:pPr>
              <w:keepNext w:val="0"/>
              <w:keepLines w:val="0"/>
              <w:widowControl/>
              <w:suppressLineNumbers w:val="0"/>
              <w:jc w:val="left"/>
              <w:textAlignment w:val="center"/>
              <w:rPr>
                <w:rFonts w:ascii="宋体" w:hAnsi="宋体" w:eastAsia="宋体" w:cs="仿宋"/>
                <w:sz w:val="20"/>
                <w:szCs w:val="20"/>
                <w:lang w:val="en-US"/>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0DC60EAB">
            <w:pPr>
              <w:keepNext w:val="0"/>
              <w:keepLines w:val="0"/>
              <w:widowControl/>
              <w:suppressLineNumbers w:val="0"/>
              <w:jc w:val="center"/>
              <w:textAlignment w:val="center"/>
              <w:rPr>
                <w:rFonts w:ascii="宋体" w:hAnsi="宋体" w:eastAsia="宋体" w:cs="仿宋"/>
                <w:sz w:val="20"/>
                <w:szCs w:val="20"/>
                <w:lang w:val="en-US" w:eastAsia="zh-CN"/>
              </w:rPr>
            </w:pPr>
            <w:r>
              <w:rPr>
                <w:rFonts w:hint="eastAsia" w:ascii="黑体" w:hAnsi="宋体" w:eastAsia="黑体" w:cs="黑体"/>
                <w:i w:val="0"/>
                <w:iCs w:val="0"/>
                <w:color w:val="000000"/>
                <w:kern w:val="0"/>
                <w:sz w:val="16"/>
                <w:szCs w:val="16"/>
                <w:u w:val="none"/>
                <w:lang w:val="en-US" w:eastAsia="zh-CN" w:bidi="ar"/>
              </w:rPr>
              <w:t>/</w:t>
            </w:r>
          </w:p>
        </w:tc>
      </w:tr>
      <w:tr w14:paraId="63D8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4629CB2">
            <w:pPr>
              <w:jc w:val="center"/>
              <w:rPr>
                <w:rFonts w:ascii="宋体" w:hAnsi="宋体" w:eastAsia="宋体" w:cs="仿宋"/>
                <w:sz w:val="20"/>
                <w:szCs w:val="20"/>
              </w:rPr>
            </w:pPr>
          </w:p>
        </w:tc>
        <w:tc>
          <w:tcPr>
            <w:tcW w:w="628" w:type="dxa"/>
            <w:shd w:val="clear" w:color="auto" w:fill="auto"/>
            <w:vAlign w:val="center"/>
          </w:tcPr>
          <w:p w14:paraId="630D7D5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46 </w:t>
            </w:r>
          </w:p>
        </w:tc>
        <w:tc>
          <w:tcPr>
            <w:tcW w:w="1379" w:type="dxa"/>
            <w:shd w:val="clear" w:color="auto" w:fill="auto"/>
            <w:vAlign w:val="center"/>
          </w:tcPr>
          <w:p w14:paraId="47C65A6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6FE5DA4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机柜规格</w:t>
            </w:r>
          </w:p>
        </w:tc>
        <w:tc>
          <w:tcPr>
            <w:tcW w:w="1343" w:type="dxa"/>
            <w:shd w:val="clear" w:color="auto" w:fill="auto"/>
            <w:vAlign w:val="center"/>
          </w:tcPr>
          <w:p w14:paraId="771B08A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机柜管理板</w:t>
            </w:r>
          </w:p>
        </w:tc>
        <w:tc>
          <w:tcPr>
            <w:tcW w:w="3548" w:type="dxa"/>
            <w:shd w:val="clear" w:color="auto" w:fill="auto"/>
            <w:vAlign w:val="center"/>
          </w:tcPr>
          <w:p w14:paraId="649A1FA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56C7CD9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196CA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C458153">
            <w:pPr>
              <w:jc w:val="center"/>
              <w:rPr>
                <w:rFonts w:ascii="宋体" w:hAnsi="宋体" w:eastAsia="宋体" w:cs="仿宋"/>
                <w:sz w:val="20"/>
                <w:szCs w:val="20"/>
              </w:rPr>
            </w:pPr>
          </w:p>
        </w:tc>
        <w:tc>
          <w:tcPr>
            <w:tcW w:w="628" w:type="dxa"/>
            <w:shd w:val="clear" w:color="auto" w:fill="auto"/>
            <w:vAlign w:val="center"/>
          </w:tcPr>
          <w:p w14:paraId="347B2DE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47 </w:t>
            </w:r>
          </w:p>
        </w:tc>
        <w:tc>
          <w:tcPr>
            <w:tcW w:w="1379" w:type="dxa"/>
            <w:shd w:val="clear" w:color="auto" w:fill="auto"/>
            <w:vAlign w:val="center"/>
          </w:tcPr>
          <w:p w14:paraId="216E39A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产品规格</w:t>
            </w:r>
          </w:p>
        </w:tc>
        <w:tc>
          <w:tcPr>
            <w:tcW w:w="832" w:type="dxa"/>
            <w:shd w:val="clear" w:color="auto" w:fill="auto"/>
            <w:vAlign w:val="center"/>
          </w:tcPr>
          <w:p w14:paraId="7A1F8E3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机柜规格</w:t>
            </w:r>
          </w:p>
        </w:tc>
        <w:tc>
          <w:tcPr>
            <w:tcW w:w="1343" w:type="dxa"/>
            <w:shd w:val="clear" w:color="auto" w:fill="auto"/>
            <w:vAlign w:val="center"/>
          </w:tcPr>
          <w:p w14:paraId="323DFF1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机柜电源规格</w:t>
            </w:r>
          </w:p>
        </w:tc>
        <w:tc>
          <w:tcPr>
            <w:tcW w:w="3548" w:type="dxa"/>
            <w:shd w:val="clear" w:color="auto" w:fill="auto"/>
            <w:vAlign w:val="center"/>
          </w:tcPr>
          <w:p w14:paraId="50AF7EE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356DBA8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34B55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395533F">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6D3F433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48 </w:t>
            </w:r>
          </w:p>
        </w:tc>
        <w:tc>
          <w:tcPr>
            <w:tcW w:w="1379" w:type="dxa"/>
            <w:shd w:val="clear" w:color="auto" w:fill="auto"/>
            <w:vAlign w:val="center"/>
          </w:tcPr>
          <w:p w14:paraId="0E5C8F6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35A7E44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*主板功能</w:t>
            </w:r>
          </w:p>
        </w:tc>
        <w:tc>
          <w:tcPr>
            <w:tcW w:w="1343" w:type="dxa"/>
            <w:shd w:val="clear" w:color="auto" w:fill="auto"/>
            <w:vAlign w:val="center"/>
          </w:tcPr>
          <w:p w14:paraId="55CA6FC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*主板外部接口种类</w:t>
            </w:r>
          </w:p>
        </w:tc>
        <w:tc>
          <w:tcPr>
            <w:tcW w:w="3548" w:type="dxa"/>
            <w:shd w:val="clear" w:color="auto" w:fill="auto"/>
            <w:vAlign w:val="center"/>
          </w:tcPr>
          <w:p w14:paraId="095EA3A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支持 USB、显示、管理等接口，如：VGA、DP、HDMI、USB3.0、PS/2 接口、BMC 管理端口</w:t>
            </w:r>
          </w:p>
        </w:tc>
        <w:tc>
          <w:tcPr>
            <w:tcW w:w="1293" w:type="dxa"/>
            <w:shd w:val="clear" w:color="auto" w:fill="auto"/>
            <w:vAlign w:val="center"/>
          </w:tcPr>
          <w:p w14:paraId="55B59FF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27FC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FAECFD8">
            <w:pPr>
              <w:jc w:val="center"/>
              <w:rPr>
                <w:rFonts w:ascii="宋体" w:hAnsi="宋体" w:eastAsia="宋体" w:cs="仿宋"/>
                <w:sz w:val="20"/>
                <w:szCs w:val="20"/>
              </w:rPr>
            </w:pPr>
          </w:p>
        </w:tc>
        <w:tc>
          <w:tcPr>
            <w:tcW w:w="628" w:type="dxa"/>
            <w:shd w:val="clear" w:color="auto" w:fill="auto"/>
            <w:vAlign w:val="center"/>
          </w:tcPr>
          <w:p w14:paraId="6B28D84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49 </w:t>
            </w:r>
          </w:p>
        </w:tc>
        <w:tc>
          <w:tcPr>
            <w:tcW w:w="1379" w:type="dxa"/>
            <w:shd w:val="clear" w:color="auto" w:fill="auto"/>
            <w:vAlign w:val="center"/>
          </w:tcPr>
          <w:p w14:paraId="7D24781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7289973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*主板功能</w:t>
            </w:r>
          </w:p>
        </w:tc>
        <w:tc>
          <w:tcPr>
            <w:tcW w:w="1343" w:type="dxa"/>
            <w:shd w:val="clear" w:color="auto" w:fill="auto"/>
            <w:vAlign w:val="center"/>
          </w:tcPr>
          <w:p w14:paraId="03693B5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主板防烧板设计</w:t>
            </w:r>
          </w:p>
        </w:tc>
        <w:tc>
          <w:tcPr>
            <w:tcW w:w="3548" w:type="dxa"/>
            <w:shd w:val="clear" w:color="auto" w:fill="auto"/>
            <w:vAlign w:val="center"/>
          </w:tcPr>
          <w:p w14:paraId="047956B8">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71DA033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1A60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0EA0C1F">
            <w:pPr>
              <w:jc w:val="center"/>
              <w:rPr>
                <w:rFonts w:ascii="宋体" w:hAnsi="宋体" w:eastAsia="宋体" w:cs="仿宋"/>
                <w:sz w:val="20"/>
                <w:szCs w:val="20"/>
              </w:rPr>
            </w:pPr>
          </w:p>
        </w:tc>
        <w:tc>
          <w:tcPr>
            <w:tcW w:w="628" w:type="dxa"/>
            <w:shd w:val="clear" w:color="auto" w:fill="auto"/>
            <w:vAlign w:val="center"/>
          </w:tcPr>
          <w:p w14:paraId="7DFA5CF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50 </w:t>
            </w:r>
          </w:p>
        </w:tc>
        <w:tc>
          <w:tcPr>
            <w:tcW w:w="1379" w:type="dxa"/>
            <w:shd w:val="clear" w:color="auto" w:fill="auto"/>
            <w:vAlign w:val="center"/>
          </w:tcPr>
          <w:p w14:paraId="5C4B7C7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3BC4C84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*主板功能</w:t>
            </w:r>
          </w:p>
        </w:tc>
        <w:tc>
          <w:tcPr>
            <w:tcW w:w="1343" w:type="dxa"/>
            <w:shd w:val="clear" w:color="auto" w:fill="auto"/>
            <w:vAlign w:val="center"/>
          </w:tcPr>
          <w:p w14:paraId="559F084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扩展功能</w:t>
            </w:r>
          </w:p>
        </w:tc>
        <w:tc>
          <w:tcPr>
            <w:tcW w:w="3548" w:type="dxa"/>
            <w:shd w:val="clear" w:color="auto" w:fill="auto"/>
            <w:vAlign w:val="center"/>
          </w:tcPr>
          <w:p w14:paraId="4846446B">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4127744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14E3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DDAB1C9">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C18CC2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51 </w:t>
            </w:r>
          </w:p>
        </w:tc>
        <w:tc>
          <w:tcPr>
            <w:tcW w:w="1379" w:type="dxa"/>
            <w:shd w:val="clear" w:color="auto" w:fill="auto"/>
            <w:vAlign w:val="center"/>
          </w:tcPr>
          <w:p w14:paraId="34EB6CB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0B920C9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*网络功能</w:t>
            </w:r>
          </w:p>
        </w:tc>
        <w:tc>
          <w:tcPr>
            <w:tcW w:w="1343" w:type="dxa"/>
            <w:shd w:val="clear" w:color="auto" w:fill="auto"/>
            <w:vAlign w:val="center"/>
          </w:tcPr>
          <w:p w14:paraId="6DF643F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*网络功能</w:t>
            </w:r>
          </w:p>
        </w:tc>
        <w:tc>
          <w:tcPr>
            <w:tcW w:w="3548" w:type="dxa"/>
            <w:shd w:val="clear" w:color="auto" w:fill="auto"/>
            <w:vAlign w:val="center"/>
          </w:tcPr>
          <w:p w14:paraId="0C859909">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支持网络连接、网络访问、数据交换和网络管控功能</w:t>
            </w:r>
          </w:p>
        </w:tc>
        <w:tc>
          <w:tcPr>
            <w:tcW w:w="1293" w:type="dxa"/>
            <w:shd w:val="clear" w:color="auto" w:fill="auto"/>
            <w:vAlign w:val="center"/>
          </w:tcPr>
          <w:p w14:paraId="3F6D8E9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6676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8123F1A">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E60A07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52 </w:t>
            </w:r>
          </w:p>
        </w:tc>
        <w:tc>
          <w:tcPr>
            <w:tcW w:w="1379" w:type="dxa"/>
            <w:shd w:val="clear" w:color="auto" w:fill="auto"/>
            <w:vAlign w:val="center"/>
          </w:tcPr>
          <w:p w14:paraId="64A1987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23CE961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*CPU功能</w:t>
            </w:r>
          </w:p>
        </w:tc>
        <w:tc>
          <w:tcPr>
            <w:tcW w:w="1343" w:type="dxa"/>
            <w:shd w:val="clear" w:color="auto" w:fill="auto"/>
            <w:vAlign w:val="center"/>
          </w:tcPr>
          <w:p w14:paraId="63CC1DF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*计算处理</w:t>
            </w:r>
          </w:p>
        </w:tc>
        <w:tc>
          <w:tcPr>
            <w:tcW w:w="3548" w:type="dxa"/>
            <w:shd w:val="clear" w:color="auto" w:fill="auto"/>
            <w:vAlign w:val="center"/>
          </w:tcPr>
          <w:p w14:paraId="3471F28E">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支持通用计算及虚拟化功能。处理器需集成整型计算单元、浮点计算单元、内存控制器、I/O 模块等，处理器与存储部件、网络部件、I/O部件等组成计算系统，提供数据处理、网络接入等计算相关功能</w:t>
            </w:r>
          </w:p>
        </w:tc>
        <w:tc>
          <w:tcPr>
            <w:tcW w:w="1293" w:type="dxa"/>
            <w:shd w:val="clear" w:color="auto" w:fill="auto"/>
            <w:vAlign w:val="center"/>
          </w:tcPr>
          <w:p w14:paraId="5A7E3A1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2F61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8338DE3">
            <w:pPr>
              <w:keepNext w:val="0"/>
              <w:keepLines w:val="0"/>
              <w:widowControl/>
              <w:suppressLineNumbers w:val="0"/>
              <w:jc w:val="center"/>
              <w:textAlignment w:val="center"/>
              <w:rPr>
                <w:rFonts w:ascii="宋体" w:hAnsi="宋体" w:eastAsia="宋体" w:cs="仿宋"/>
                <w:sz w:val="20"/>
                <w:szCs w:val="20"/>
              </w:rPr>
            </w:pPr>
          </w:p>
        </w:tc>
        <w:tc>
          <w:tcPr>
            <w:tcW w:w="628" w:type="dxa"/>
            <w:shd w:val="clear" w:color="auto" w:fill="auto"/>
            <w:vAlign w:val="center"/>
          </w:tcPr>
          <w:p w14:paraId="48400B7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53 </w:t>
            </w:r>
          </w:p>
        </w:tc>
        <w:tc>
          <w:tcPr>
            <w:tcW w:w="1379" w:type="dxa"/>
            <w:shd w:val="clear" w:color="auto" w:fill="auto"/>
            <w:vAlign w:val="center"/>
          </w:tcPr>
          <w:p w14:paraId="7DA1629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102450F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*CPU功能</w:t>
            </w:r>
          </w:p>
        </w:tc>
        <w:tc>
          <w:tcPr>
            <w:tcW w:w="1343" w:type="dxa"/>
            <w:shd w:val="clear" w:color="auto" w:fill="auto"/>
            <w:vAlign w:val="center"/>
          </w:tcPr>
          <w:p w14:paraId="24E1902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*密码算法   实现</w:t>
            </w:r>
          </w:p>
        </w:tc>
        <w:tc>
          <w:tcPr>
            <w:tcW w:w="3548" w:type="dxa"/>
            <w:shd w:val="clear" w:color="auto" w:fill="auto"/>
            <w:vAlign w:val="center"/>
          </w:tcPr>
          <w:p w14:paraId="30A58D4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48312823">
            <w:pPr>
              <w:keepNext w:val="0"/>
              <w:keepLines w:val="0"/>
              <w:widowControl/>
              <w:suppressLineNumbers w:val="0"/>
              <w:jc w:val="center"/>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r>
      <w:tr w14:paraId="292EC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BF9AA7C">
            <w:pPr>
              <w:jc w:val="center"/>
              <w:rPr>
                <w:rFonts w:ascii="宋体" w:hAnsi="宋体" w:eastAsia="宋体" w:cs="仿宋"/>
                <w:sz w:val="20"/>
                <w:szCs w:val="20"/>
              </w:rPr>
            </w:pPr>
          </w:p>
        </w:tc>
        <w:tc>
          <w:tcPr>
            <w:tcW w:w="628" w:type="dxa"/>
            <w:shd w:val="clear" w:color="auto" w:fill="auto"/>
            <w:vAlign w:val="center"/>
          </w:tcPr>
          <w:p w14:paraId="151D80A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54 </w:t>
            </w:r>
          </w:p>
        </w:tc>
        <w:tc>
          <w:tcPr>
            <w:tcW w:w="1379" w:type="dxa"/>
            <w:shd w:val="clear" w:color="auto" w:fill="auto"/>
            <w:vAlign w:val="center"/>
          </w:tcPr>
          <w:p w14:paraId="58FEEC4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34C48C2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存储功能</w:t>
            </w:r>
          </w:p>
        </w:tc>
        <w:tc>
          <w:tcPr>
            <w:tcW w:w="1343" w:type="dxa"/>
            <w:shd w:val="clear" w:color="auto" w:fill="auto"/>
            <w:vAlign w:val="center"/>
          </w:tcPr>
          <w:p w14:paraId="562C585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内存校验</w:t>
            </w:r>
          </w:p>
        </w:tc>
        <w:tc>
          <w:tcPr>
            <w:tcW w:w="3548" w:type="dxa"/>
            <w:shd w:val="clear" w:color="auto" w:fill="auto"/>
            <w:vAlign w:val="center"/>
          </w:tcPr>
          <w:p w14:paraId="0F080E6B">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1315F1E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0D8C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4656B5F">
            <w:pPr>
              <w:jc w:val="center"/>
              <w:rPr>
                <w:rFonts w:ascii="宋体" w:hAnsi="宋体" w:eastAsia="宋体" w:cs="仿宋"/>
                <w:sz w:val="20"/>
                <w:szCs w:val="20"/>
              </w:rPr>
            </w:pPr>
          </w:p>
        </w:tc>
        <w:tc>
          <w:tcPr>
            <w:tcW w:w="628" w:type="dxa"/>
            <w:shd w:val="clear" w:color="auto" w:fill="auto"/>
            <w:vAlign w:val="center"/>
          </w:tcPr>
          <w:p w14:paraId="79E4DCE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55 </w:t>
            </w:r>
          </w:p>
        </w:tc>
        <w:tc>
          <w:tcPr>
            <w:tcW w:w="1379" w:type="dxa"/>
            <w:shd w:val="clear" w:color="auto" w:fill="auto"/>
            <w:vAlign w:val="center"/>
          </w:tcPr>
          <w:p w14:paraId="34B7FBB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0285B5C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存储功能</w:t>
            </w:r>
          </w:p>
        </w:tc>
        <w:tc>
          <w:tcPr>
            <w:tcW w:w="1343" w:type="dxa"/>
            <w:shd w:val="clear" w:color="auto" w:fill="auto"/>
            <w:vAlign w:val="top"/>
          </w:tcPr>
          <w:p w14:paraId="31E972EF">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SATA SSDNAND 健康状态上报</w:t>
            </w:r>
          </w:p>
        </w:tc>
        <w:tc>
          <w:tcPr>
            <w:tcW w:w="3548" w:type="dxa"/>
            <w:shd w:val="clear" w:color="auto" w:fill="auto"/>
            <w:vAlign w:val="center"/>
          </w:tcPr>
          <w:p w14:paraId="620A2DFC">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3E8D065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1345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B7B1640">
            <w:pPr>
              <w:jc w:val="center"/>
              <w:rPr>
                <w:rFonts w:ascii="宋体" w:hAnsi="宋体" w:eastAsia="宋体" w:cs="仿宋"/>
                <w:sz w:val="20"/>
                <w:szCs w:val="20"/>
              </w:rPr>
            </w:pPr>
          </w:p>
        </w:tc>
        <w:tc>
          <w:tcPr>
            <w:tcW w:w="628" w:type="dxa"/>
            <w:shd w:val="clear" w:color="auto" w:fill="auto"/>
            <w:vAlign w:val="center"/>
          </w:tcPr>
          <w:p w14:paraId="5800955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56 </w:t>
            </w:r>
          </w:p>
        </w:tc>
        <w:tc>
          <w:tcPr>
            <w:tcW w:w="1379" w:type="dxa"/>
            <w:shd w:val="clear" w:color="auto" w:fill="auto"/>
            <w:vAlign w:val="center"/>
          </w:tcPr>
          <w:p w14:paraId="42AA13C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7292D03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存储功能</w:t>
            </w:r>
          </w:p>
        </w:tc>
        <w:tc>
          <w:tcPr>
            <w:tcW w:w="1343" w:type="dxa"/>
            <w:shd w:val="clear" w:color="auto" w:fill="auto"/>
            <w:vAlign w:val="top"/>
          </w:tcPr>
          <w:p w14:paraId="29885165">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SATA SSD单 die 故障隔离</w:t>
            </w:r>
          </w:p>
        </w:tc>
        <w:tc>
          <w:tcPr>
            <w:tcW w:w="3548" w:type="dxa"/>
            <w:shd w:val="clear" w:color="auto" w:fill="auto"/>
            <w:vAlign w:val="center"/>
          </w:tcPr>
          <w:p w14:paraId="45E41D5B">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5FE4D25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06B8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0C6E154">
            <w:pPr>
              <w:jc w:val="center"/>
              <w:rPr>
                <w:rFonts w:ascii="宋体" w:hAnsi="宋体" w:eastAsia="宋体" w:cs="仿宋"/>
                <w:sz w:val="20"/>
                <w:szCs w:val="20"/>
              </w:rPr>
            </w:pPr>
          </w:p>
        </w:tc>
        <w:tc>
          <w:tcPr>
            <w:tcW w:w="628" w:type="dxa"/>
            <w:shd w:val="clear" w:color="auto" w:fill="auto"/>
            <w:vAlign w:val="center"/>
          </w:tcPr>
          <w:p w14:paraId="1161802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57 </w:t>
            </w:r>
          </w:p>
        </w:tc>
        <w:tc>
          <w:tcPr>
            <w:tcW w:w="1379" w:type="dxa"/>
            <w:shd w:val="clear" w:color="auto" w:fill="auto"/>
            <w:vAlign w:val="center"/>
          </w:tcPr>
          <w:p w14:paraId="228FEE8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018AC71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RAID卡功能（若支持RAID卡）</w:t>
            </w:r>
          </w:p>
        </w:tc>
        <w:tc>
          <w:tcPr>
            <w:tcW w:w="1343" w:type="dxa"/>
            <w:shd w:val="clear" w:color="auto" w:fill="auto"/>
            <w:vAlign w:val="center"/>
          </w:tcPr>
          <w:p w14:paraId="07555A5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RAID 卡RAID 级别支持</w:t>
            </w:r>
          </w:p>
        </w:tc>
        <w:tc>
          <w:tcPr>
            <w:tcW w:w="3548" w:type="dxa"/>
            <w:shd w:val="clear" w:color="auto" w:fill="auto"/>
            <w:vAlign w:val="center"/>
          </w:tcPr>
          <w:p w14:paraId="4AA1463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50A3899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5A0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06FF408">
            <w:pPr>
              <w:jc w:val="center"/>
              <w:rPr>
                <w:rFonts w:ascii="宋体" w:hAnsi="宋体" w:eastAsia="宋体" w:cs="仿宋"/>
                <w:sz w:val="20"/>
                <w:szCs w:val="20"/>
              </w:rPr>
            </w:pPr>
          </w:p>
        </w:tc>
        <w:tc>
          <w:tcPr>
            <w:tcW w:w="628" w:type="dxa"/>
            <w:shd w:val="clear" w:color="auto" w:fill="auto"/>
            <w:vAlign w:val="center"/>
          </w:tcPr>
          <w:p w14:paraId="26903FB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58 </w:t>
            </w:r>
          </w:p>
        </w:tc>
        <w:tc>
          <w:tcPr>
            <w:tcW w:w="1379" w:type="dxa"/>
            <w:shd w:val="clear" w:color="auto" w:fill="auto"/>
            <w:vAlign w:val="center"/>
          </w:tcPr>
          <w:p w14:paraId="3ABB448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00FCF3F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RAID卡功能（若支持RAID卡）</w:t>
            </w:r>
          </w:p>
        </w:tc>
        <w:tc>
          <w:tcPr>
            <w:tcW w:w="1343" w:type="dxa"/>
            <w:shd w:val="clear" w:color="auto" w:fill="auto"/>
            <w:vAlign w:val="center"/>
          </w:tcPr>
          <w:p w14:paraId="3712D65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RAID 卡BBU 单元</w:t>
            </w:r>
          </w:p>
        </w:tc>
        <w:tc>
          <w:tcPr>
            <w:tcW w:w="3548" w:type="dxa"/>
            <w:shd w:val="clear" w:color="auto" w:fill="auto"/>
            <w:vAlign w:val="center"/>
          </w:tcPr>
          <w:p w14:paraId="275E9C4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388A5E4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E28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C5F5ABF">
            <w:pPr>
              <w:jc w:val="center"/>
              <w:rPr>
                <w:rFonts w:ascii="宋体" w:hAnsi="宋体" w:eastAsia="宋体" w:cs="仿宋"/>
                <w:sz w:val="20"/>
                <w:szCs w:val="20"/>
              </w:rPr>
            </w:pPr>
          </w:p>
        </w:tc>
        <w:tc>
          <w:tcPr>
            <w:tcW w:w="628" w:type="dxa"/>
            <w:shd w:val="clear" w:color="auto" w:fill="auto"/>
            <w:vAlign w:val="center"/>
          </w:tcPr>
          <w:p w14:paraId="7963A93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59 </w:t>
            </w:r>
          </w:p>
        </w:tc>
        <w:tc>
          <w:tcPr>
            <w:tcW w:w="1379" w:type="dxa"/>
            <w:shd w:val="clear" w:color="auto" w:fill="auto"/>
            <w:vAlign w:val="top"/>
          </w:tcPr>
          <w:p w14:paraId="55BD3ACF">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18433B9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光驱功能</w:t>
            </w:r>
          </w:p>
        </w:tc>
        <w:tc>
          <w:tcPr>
            <w:tcW w:w="1343" w:type="dxa"/>
            <w:shd w:val="clear" w:color="auto" w:fill="auto"/>
            <w:vAlign w:val="center"/>
          </w:tcPr>
          <w:p w14:paraId="4A45CE34">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光驱类型（是否支持 RW，以及光盘类型CD/DVD）</w:t>
            </w:r>
          </w:p>
        </w:tc>
        <w:tc>
          <w:tcPr>
            <w:tcW w:w="3548" w:type="dxa"/>
            <w:shd w:val="clear" w:color="auto" w:fill="auto"/>
            <w:vAlign w:val="center"/>
          </w:tcPr>
          <w:p w14:paraId="1BAE2F0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1037D90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388C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75D0CA9">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7A0929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60 </w:t>
            </w:r>
          </w:p>
        </w:tc>
        <w:tc>
          <w:tcPr>
            <w:tcW w:w="1379" w:type="dxa"/>
            <w:shd w:val="clear" w:color="auto" w:fill="auto"/>
            <w:vAlign w:val="top"/>
          </w:tcPr>
          <w:p w14:paraId="277D54E3">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7D94610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*电源功能</w:t>
            </w:r>
          </w:p>
        </w:tc>
        <w:tc>
          <w:tcPr>
            <w:tcW w:w="1343" w:type="dxa"/>
            <w:shd w:val="clear" w:color="auto" w:fill="auto"/>
            <w:vAlign w:val="center"/>
          </w:tcPr>
          <w:p w14:paraId="0F052A5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*电源热插拔</w:t>
            </w:r>
          </w:p>
        </w:tc>
        <w:tc>
          <w:tcPr>
            <w:tcW w:w="3548" w:type="dxa"/>
            <w:shd w:val="clear" w:color="auto" w:fill="auto"/>
            <w:vAlign w:val="center"/>
          </w:tcPr>
          <w:p w14:paraId="69EEF510">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整机电源模块应具备热插拔功能</w:t>
            </w:r>
          </w:p>
        </w:tc>
        <w:tc>
          <w:tcPr>
            <w:tcW w:w="1293" w:type="dxa"/>
            <w:shd w:val="clear" w:color="auto" w:fill="auto"/>
            <w:vAlign w:val="center"/>
          </w:tcPr>
          <w:p w14:paraId="58B65B7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4B0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8DB6518">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66E245C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61 </w:t>
            </w:r>
          </w:p>
        </w:tc>
        <w:tc>
          <w:tcPr>
            <w:tcW w:w="1379" w:type="dxa"/>
            <w:shd w:val="clear" w:color="auto" w:fill="auto"/>
            <w:vAlign w:val="top"/>
          </w:tcPr>
          <w:p w14:paraId="7528438A">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00D93FD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*电源功能</w:t>
            </w:r>
          </w:p>
        </w:tc>
        <w:tc>
          <w:tcPr>
            <w:tcW w:w="1343" w:type="dxa"/>
            <w:shd w:val="clear" w:color="auto" w:fill="auto"/>
            <w:vAlign w:val="center"/>
          </w:tcPr>
          <w:p w14:paraId="6A80A6E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*电源过流保护</w:t>
            </w:r>
          </w:p>
        </w:tc>
        <w:tc>
          <w:tcPr>
            <w:tcW w:w="3548" w:type="dxa"/>
            <w:shd w:val="clear" w:color="auto" w:fill="auto"/>
            <w:vAlign w:val="center"/>
          </w:tcPr>
          <w:p w14:paraId="28AC185B">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支持过流及短路保护的功能</w:t>
            </w:r>
          </w:p>
        </w:tc>
        <w:tc>
          <w:tcPr>
            <w:tcW w:w="1293" w:type="dxa"/>
            <w:shd w:val="clear" w:color="auto" w:fill="auto"/>
            <w:vAlign w:val="center"/>
          </w:tcPr>
          <w:p w14:paraId="5ED800D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4D74D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249BF7C">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017A0C0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62 </w:t>
            </w:r>
          </w:p>
        </w:tc>
        <w:tc>
          <w:tcPr>
            <w:tcW w:w="1379" w:type="dxa"/>
            <w:shd w:val="clear" w:color="auto" w:fill="auto"/>
            <w:vAlign w:val="top"/>
          </w:tcPr>
          <w:p w14:paraId="1ED1719F">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0E3CF3B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*整机功能</w:t>
            </w:r>
          </w:p>
        </w:tc>
        <w:tc>
          <w:tcPr>
            <w:tcW w:w="1343" w:type="dxa"/>
            <w:shd w:val="clear" w:color="auto" w:fill="auto"/>
            <w:vAlign w:val="center"/>
          </w:tcPr>
          <w:p w14:paraId="0FA5297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*散热方式</w:t>
            </w:r>
          </w:p>
        </w:tc>
        <w:tc>
          <w:tcPr>
            <w:tcW w:w="3548" w:type="dxa"/>
            <w:shd w:val="clear" w:color="auto" w:fill="auto"/>
            <w:vAlign w:val="center"/>
          </w:tcPr>
          <w:p w14:paraId="4CBE3A4E">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支持风冷或液冷等散热方式</w:t>
            </w:r>
          </w:p>
        </w:tc>
        <w:tc>
          <w:tcPr>
            <w:tcW w:w="1293" w:type="dxa"/>
            <w:shd w:val="clear" w:color="auto" w:fill="auto"/>
            <w:vAlign w:val="center"/>
          </w:tcPr>
          <w:p w14:paraId="2939151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1EACF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BDC8093">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7189C8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63 </w:t>
            </w:r>
          </w:p>
        </w:tc>
        <w:tc>
          <w:tcPr>
            <w:tcW w:w="1379" w:type="dxa"/>
            <w:shd w:val="clear" w:color="auto" w:fill="auto"/>
            <w:vAlign w:val="top"/>
          </w:tcPr>
          <w:p w14:paraId="0B4E18E8">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1B39951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*整机功能</w:t>
            </w:r>
          </w:p>
        </w:tc>
        <w:tc>
          <w:tcPr>
            <w:tcW w:w="1343" w:type="dxa"/>
            <w:shd w:val="clear" w:color="auto" w:fill="auto"/>
            <w:vAlign w:val="center"/>
          </w:tcPr>
          <w:p w14:paraId="19797E3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其他功能</w:t>
            </w:r>
          </w:p>
        </w:tc>
        <w:tc>
          <w:tcPr>
            <w:tcW w:w="3548" w:type="dxa"/>
            <w:shd w:val="clear" w:color="auto" w:fill="auto"/>
            <w:vAlign w:val="center"/>
          </w:tcPr>
          <w:p w14:paraId="60B632F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支持关键部件冗余（包括电源、风扇等）</w:t>
            </w:r>
          </w:p>
        </w:tc>
        <w:tc>
          <w:tcPr>
            <w:tcW w:w="1293" w:type="dxa"/>
            <w:shd w:val="clear" w:color="auto" w:fill="auto"/>
            <w:vAlign w:val="center"/>
          </w:tcPr>
          <w:p w14:paraId="7E526FE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1C3E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DECAB38">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6371E025">
            <w:pPr>
              <w:keepNext w:val="0"/>
              <w:keepLines w:val="0"/>
              <w:widowControl/>
              <w:suppressLineNumbers w:val="0"/>
              <w:jc w:val="righ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64 </w:t>
            </w:r>
          </w:p>
        </w:tc>
        <w:tc>
          <w:tcPr>
            <w:tcW w:w="1379" w:type="dxa"/>
            <w:shd w:val="clear" w:color="auto" w:fill="auto"/>
            <w:vAlign w:val="center"/>
          </w:tcPr>
          <w:p w14:paraId="043751A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379067B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*管理系统功能</w:t>
            </w:r>
          </w:p>
        </w:tc>
        <w:tc>
          <w:tcPr>
            <w:tcW w:w="1343" w:type="dxa"/>
            <w:shd w:val="clear" w:color="auto" w:fill="auto"/>
            <w:vAlign w:val="center"/>
          </w:tcPr>
          <w:p w14:paraId="1DC9E0A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*BMC 固件基础功能</w:t>
            </w:r>
          </w:p>
        </w:tc>
        <w:tc>
          <w:tcPr>
            <w:tcW w:w="3548" w:type="dxa"/>
            <w:shd w:val="clear" w:color="auto" w:fill="auto"/>
            <w:vAlign w:val="center"/>
          </w:tcPr>
          <w:p w14:paraId="297B664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1) 支持 DHCP 设置网络功能；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2)支持静态 IP 设置网络功能；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3)支持设备日志记录，包括但不限于登录日志、操作日志和报警日志等功能；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4)支持日志信息导出和记录删除功能；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5)支持通过管理接口向外输出准确的报警信息功能；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6)设备的BMC 管理软件应能够按报警的严重程度进行区分；</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7)支持 IPMI2.0、SNMP 或 Redfish等接口功能；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8)支持键盘、鼠标和视频的重定向、文本控制台的重定向、远程虚拟媒体、高可靠的硬件监控和管理功能；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9)支持基于网络开启、关闭和重启设备的功能，并查询当前设备开机运行状态；</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10)支持故障提示功能，并可通过接口读取服务器故障信息；</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11)支持基于网络的固件更新功能，包括 BMC 和 BIOS 等；</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12)支持基于网络安装操作系统的功能，并可通过网络控制台访问设备；</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13)支持通过本地的硬盘或光驱等存储设备，基于网络完成设备的操作系统安装功能；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14)支持通过浏览器打开管理界面并登录功能；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15)支持设置口令策略功能；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16)支持访问权限设置功能，并通过日志记录访问事件；</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17)支持对出厂默认的用户名及口令进行安全保护功能，并提供默认口令修改提示；</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18)支持读取设备主板的工作环境温度功能；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19)支持读取服务器 CPU 等核心器件的温度功能；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20)支持通过外部管理工具进行 BMC参数设置的功能，并可基于网络通过外部管理工具对 BMC 进行管理；</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21)应支持固件版本查询、固件升级</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22)支持基于网络实现开关机和复位控制的功能；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23)BMC 启动时间应不超过 180s，实现功能包括网络、IPMI、散热、传感器服务可用；</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24)支持 BMC 固件设置的恢复出厂功能</w:t>
            </w:r>
          </w:p>
        </w:tc>
        <w:tc>
          <w:tcPr>
            <w:tcW w:w="1293" w:type="dxa"/>
            <w:shd w:val="clear" w:color="auto" w:fill="auto"/>
            <w:vAlign w:val="center"/>
          </w:tcPr>
          <w:p w14:paraId="61762FAB">
            <w:pPr>
              <w:keepNext w:val="0"/>
              <w:keepLines w:val="0"/>
              <w:widowControl/>
              <w:suppressLineNumbers w:val="0"/>
              <w:jc w:val="center"/>
              <w:textAlignment w:val="center"/>
              <w:rPr>
                <w:rFonts w:ascii="宋体" w:hAnsi="宋体" w:eastAsia="宋体" w:cs="仿宋"/>
                <w:kern w:val="0"/>
                <w:sz w:val="20"/>
                <w:szCs w:val="20"/>
                <w:lang w:val="en-US" w:eastAsia="zh-CN" w:bidi="ar"/>
              </w:rPr>
            </w:pPr>
            <w:r>
              <w:rPr>
                <w:rFonts w:hint="eastAsia" w:ascii="黑体" w:hAnsi="宋体" w:eastAsia="黑体" w:cs="黑体"/>
                <w:i w:val="0"/>
                <w:iCs w:val="0"/>
                <w:color w:val="000000"/>
                <w:kern w:val="0"/>
                <w:sz w:val="16"/>
                <w:szCs w:val="16"/>
                <w:u w:val="none"/>
                <w:lang w:val="en-US" w:eastAsia="zh-CN" w:bidi="ar"/>
              </w:rPr>
              <w:t>否</w:t>
            </w:r>
          </w:p>
        </w:tc>
      </w:tr>
      <w:tr w14:paraId="7340F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4D9ECEE">
            <w:pPr>
              <w:jc w:val="center"/>
              <w:rPr>
                <w:rFonts w:ascii="宋体" w:hAnsi="宋体" w:eastAsia="宋体" w:cs="仿宋"/>
                <w:sz w:val="20"/>
                <w:szCs w:val="20"/>
              </w:rPr>
            </w:pPr>
          </w:p>
        </w:tc>
        <w:tc>
          <w:tcPr>
            <w:tcW w:w="628" w:type="dxa"/>
            <w:shd w:val="clear" w:color="auto" w:fill="auto"/>
            <w:vAlign w:val="center"/>
          </w:tcPr>
          <w:p w14:paraId="6F615F4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65 </w:t>
            </w:r>
          </w:p>
        </w:tc>
        <w:tc>
          <w:tcPr>
            <w:tcW w:w="1379" w:type="dxa"/>
            <w:shd w:val="clear" w:color="auto" w:fill="auto"/>
            <w:vAlign w:val="center"/>
          </w:tcPr>
          <w:p w14:paraId="3C932B6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6768E17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*管理系统功能</w:t>
            </w:r>
          </w:p>
        </w:tc>
        <w:tc>
          <w:tcPr>
            <w:tcW w:w="1343" w:type="dxa"/>
            <w:shd w:val="clear" w:color="auto" w:fill="auto"/>
            <w:vAlign w:val="center"/>
          </w:tcPr>
          <w:p w14:paraId="6E8C11D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BMC 固件增强功能</w:t>
            </w:r>
          </w:p>
        </w:tc>
        <w:tc>
          <w:tcPr>
            <w:tcW w:w="3548" w:type="dxa"/>
            <w:shd w:val="clear" w:color="auto" w:fill="auto"/>
            <w:vAlign w:val="center"/>
          </w:tcPr>
          <w:p w14:paraId="59F097A2">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40A19A4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8E6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EE2806E">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64D78C1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66 </w:t>
            </w:r>
          </w:p>
        </w:tc>
        <w:tc>
          <w:tcPr>
            <w:tcW w:w="1379" w:type="dxa"/>
            <w:shd w:val="clear" w:color="auto" w:fill="auto"/>
            <w:vAlign w:val="center"/>
          </w:tcPr>
          <w:p w14:paraId="37C048B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165523B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*管理系统功能</w:t>
            </w:r>
          </w:p>
        </w:tc>
        <w:tc>
          <w:tcPr>
            <w:tcW w:w="1343" w:type="dxa"/>
            <w:shd w:val="clear" w:color="auto" w:fill="auto"/>
            <w:vAlign w:val="center"/>
          </w:tcPr>
          <w:p w14:paraId="6B32902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*BIOS 固件基础功能</w:t>
            </w:r>
          </w:p>
        </w:tc>
        <w:tc>
          <w:tcPr>
            <w:tcW w:w="3548" w:type="dxa"/>
            <w:shd w:val="clear" w:color="auto" w:fill="auto"/>
            <w:vAlign w:val="center"/>
          </w:tcPr>
          <w:p w14:paraId="42930489">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a）支持查看固件版本、内存信息、主板信息、处理器信息和系统时间信息功能；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b）支持上电初始化界面显示 CPU 信息、内存信息、固件版本和部分快捷键信息功能；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c）支持设置界面中英文显示切换功能；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d）支持查看 PCIe 设备信息，SATA设备信息功能；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e）支持操作系统安装和引导功能，应并向操作系统提供计算机主板信息和服务接口；</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f）支持设置启动顺序，并按照设置的启动顺序启动功能；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g）支持安全启动功能；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h）支持设置口令、修改口令、验证口令功能；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i）支持板载显示控制或独立显卡的显示控制功能；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j）支持 RAID 识别和启动功能；k）支持串口重定向功能；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l）支持固件更新功能；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m）支持BIOS 固件设置的恢复出厂功能；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n）支持网络引导启用和关闭功能</w:t>
            </w:r>
          </w:p>
        </w:tc>
        <w:tc>
          <w:tcPr>
            <w:tcW w:w="1293" w:type="dxa"/>
            <w:shd w:val="clear" w:color="auto" w:fill="auto"/>
            <w:vAlign w:val="center"/>
          </w:tcPr>
          <w:p w14:paraId="2AF4F61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937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D5CAECF">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5A3AFAF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67 </w:t>
            </w:r>
          </w:p>
        </w:tc>
        <w:tc>
          <w:tcPr>
            <w:tcW w:w="1379" w:type="dxa"/>
            <w:shd w:val="clear" w:color="auto" w:fill="auto"/>
            <w:vAlign w:val="top"/>
          </w:tcPr>
          <w:p w14:paraId="2AC90229">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78FA88F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*管理系统功能</w:t>
            </w:r>
          </w:p>
        </w:tc>
        <w:tc>
          <w:tcPr>
            <w:tcW w:w="1343" w:type="dxa"/>
            <w:shd w:val="clear" w:color="auto" w:fill="auto"/>
            <w:vAlign w:val="center"/>
          </w:tcPr>
          <w:p w14:paraId="64A1670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*远程控制</w:t>
            </w:r>
          </w:p>
        </w:tc>
        <w:tc>
          <w:tcPr>
            <w:tcW w:w="3548" w:type="dxa"/>
            <w:shd w:val="clear" w:color="auto" w:fill="auto"/>
            <w:vAlign w:val="center"/>
          </w:tcPr>
          <w:p w14:paraId="69C9E5A9">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支持远程关机和重新启动功能</w:t>
            </w:r>
          </w:p>
        </w:tc>
        <w:tc>
          <w:tcPr>
            <w:tcW w:w="1293" w:type="dxa"/>
            <w:shd w:val="clear" w:color="auto" w:fill="auto"/>
            <w:vAlign w:val="center"/>
          </w:tcPr>
          <w:p w14:paraId="553A221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39FC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A1F2B40">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617244F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68 </w:t>
            </w:r>
          </w:p>
        </w:tc>
        <w:tc>
          <w:tcPr>
            <w:tcW w:w="1379" w:type="dxa"/>
            <w:shd w:val="clear" w:color="auto" w:fill="auto"/>
            <w:vAlign w:val="top"/>
          </w:tcPr>
          <w:p w14:paraId="4776D18E">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1487E3C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*操作系统及驱动功能</w:t>
            </w:r>
          </w:p>
        </w:tc>
        <w:tc>
          <w:tcPr>
            <w:tcW w:w="1343" w:type="dxa"/>
            <w:shd w:val="clear" w:color="auto" w:fill="auto"/>
            <w:vAlign w:val="center"/>
          </w:tcPr>
          <w:p w14:paraId="1844BF05">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*操作系统及驱动的升级</w:t>
            </w:r>
          </w:p>
        </w:tc>
        <w:tc>
          <w:tcPr>
            <w:tcW w:w="3548" w:type="dxa"/>
            <w:shd w:val="clear" w:color="auto" w:fill="auto"/>
            <w:vAlign w:val="center"/>
          </w:tcPr>
          <w:p w14:paraId="0766E20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支持通过网络、闪存盘对操作系统、驱动进行升级</w:t>
            </w:r>
          </w:p>
        </w:tc>
        <w:tc>
          <w:tcPr>
            <w:tcW w:w="1293" w:type="dxa"/>
            <w:shd w:val="clear" w:color="auto" w:fill="auto"/>
            <w:vAlign w:val="center"/>
          </w:tcPr>
          <w:p w14:paraId="4BB19A0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74FC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5080C73">
            <w:pPr>
              <w:jc w:val="center"/>
              <w:rPr>
                <w:rFonts w:ascii="宋体" w:hAnsi="宋体" w:eastAsia="宋体" w:cs="仿宋"/>
                <w:sz w:val="20"/>
                <w:szCs w:val="20"/>
              </w:rPr>
            </w:pPr>
          </w:p>
        </w:tc>
        <w:tc>
          <w:tcPr>
            <w:tcW w:w="628" w:type="dxa"/>
            <w:shd w:val="clear" w:color="auto" w:fill="auto"/>
            <w:vAlign w:val="center"/>
          </w:tcPr>
          <w:p w14:paraId="7ED7551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69 </w:t>
            </w:r>
          </w:p>
        </w:tc>
        <w:tc>
          <w:tcPr>
            <w:tcW w:w="1379" w:type="dxa"/>
            <w:shd w:val="clear" w:color="auto" w:fill="auto"/>
            <w:vAlign w:val="top"/>
          </w:tcPr>
          <w:p w14:paraId="5A2419A9">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3E2DC10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*操作系统及驱动功能</w:t>
            </w:r>
          </w:p>
        </w:tc>
        <w:tc>
          <w:tcPr>
            <w:tcW w:w="1343" w:type="dxa"/>
            <w:shd w:val="clear" w:color="auto" w:fill="auto"/>
            <w:vAlign w:val="center"/>
          </w:tcPr>
          <w:p w14:paraId="07E49A59">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操作系统及驱动的备份还原</w:t>
            </w:r>
          </w:p>
        </w:tc>
        <w:tc>
          <w:tcPr>
            <w:tcW w:w="3548" w:type="dxa"/>
            <w:shd w:val="clear" w:color="auto" w:fill="auto"/>
            <w:vAlign w:val="center"/>
          </w:tcPr>
          <w:p w14:paraId="4F286020">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1675948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44EF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A1D47F5">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539D8F5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70 </w:t>
            </w:r>
          </w:p>
        </w:tc>
        <w:tc>
          <w:tcPr>
            <w:tcW w:w="1379" w:type="dxa"/>
            <w:shd w:val="clear" w:color="auto" w:fill="auto"/>
            <w:vAlign w:val="center"/>
          </w:tcPr>
          <w:p w14:paraId="0355B53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20DFC41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*操作系统及驱动功能</w:t>
            </w:r>
          </w:p>
        </w:tc>
        <w:tc>
          <w:tcPr>
            <w:tcW w:w="1343" w:type="dxa"/>
            <w:shd w:val="clear" w:color="auto" w:fill="auto"/>
            <w:vAlign w:val="center"/>
          </w:tcPr>
          <w:p w14:paraId="2BBA09B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*操作系统功能</w:t>
            </w:r>
          </w:p>
        </w:tc>
        <w:tc>
          <w:tcPr>
            <w:tcW w:w="3548" w:type="dxa"/>
            <w:shd w:val="clear" w:color="auto" w:fill="auto"/>
            <w:vAlign w:val="center"/>
          </w:tcPr>
          <w:p w14:paraId="4E54C9FC">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a) 支持访问控制、安全审计、网络接入鉴别等功能；</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b) 操作系统其他功能应满足操作系统政府采购需求标准中加*的指标要求</w:t>
            </w:r>
          </w:p>
        </w:tc>
        <w:tc>
          <w:tcPr>
            <w:tcW w:w="1293" w:type="dxa"/>
            <w:shd w:val="clear" w:color="auto" w:fill="auto"/>
            <w:vAlign w:val="center"/>
          </w:tcPr>
          <w:p w14:paraId="73AE565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D74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26F152C">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067ED3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71 </w:t>
            </w:r>
          </w:p>
        </w:tc>
        <w:tc>
          <w:tcPr>
            <w:tcW w:w="1379" w:type="dxa"/>
            <w:shd w:val="clear" w:color="auto" w:fill="auto"/>
            <w:vAlign w:val="center"/>
          </w:tcPr>
          <w:p w14:paraId="57820FB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259168B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*中文信息处理功能</w:t>
            </w:r>
          </w:p>
        </w:tc>
        <w:tc>
          <w:tcPr>
            <w:tcW w:w="1343" w:type="dxa"/>
            <w:shd w:val="clear" w:color="auto" w:fill="auto"/>
            <w:vAlign w:val="center"/>
          </w:tcPr>
          <w:p w14:paraId="04B32B4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*中文信息处理</w:t>
            </w:r>
          </w:p>
        </w:tc>
        <w:tc>
          <w:tcPr>
            <w:tcW w:w="3548" w:type="dxa"/>
            <w:shd w:val="clear" w:color="auto" w:fill="auto"/>
            <w:vAlign w:val="center"/>
          </w:tcPr>
          <w:p w14:paraId="473E5B0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符合 GB 18030 的有关规定</w:t>
            </w:r>
          </w:p>
        </w:tc>
        <w:tc>
          <w:tcPr>
            <w:tcW w:w="1293" w:type="dxa"/>
            <w:shd w:val="clear" w:color="auto" w:fill="auto"/>
            <w:vAlign w:val="center"/>
          </w:tcPr>
          <w:p w14:paraId="08A9036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7B0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3ACBD7A">
            <w:pPr>
              <w:jc w:val="center"/>
              <w:rPr>
                <w:rFonts w:ascii="宋体" w:hAnsi="宋体" w:eastAsia="宋体" w:cs="仿宋"/>
                <w:sz w:val="20"/>
                <w:szCs w:val="20"/>
              </w:rPr>
            </w:pPr>
          </w:p>
        </w:tc>
        <w:tc>
          <w:tcPr>
            <w:tcW w:w="628" w:type="dxa"/>
            <w:shd w:val="clear" w:color="auto" w:fill="auto"/>
            <w:vAlign w:val="center"/>
          </w:tcPr>
          <w:p w14:paraId="56D052A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72 </w:t>
            </w:r>
          </w:p>
        </w:tc>
        <w:tc>
          <w:tcPr>
            <w:tcW w:w="1379" w:type="dxa"/>
            <w:shd w:val="clear" w:color="auto" w:fill="auto"/>
            <w:vAlign w:val="top"/>
          </w:tcPr>
          <w:p w14:paraId="595EFA5F">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028A0A6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机柜功能</w:t>
            </w:r>
          </w:p>
        </w:tc>
        <w:tc>
          <w:tcPr>
            <w:tcW w:w="1343" w:type="dxa"/>
            <w:shd w:val="clear" w:color="auto" w:fill="auto"/>
            <w:vAlign w:val="center"/>
          </w:tcPr>
          <w:p w14:paraId="040C447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机柜管理功能</w:t>
            </w:r>
          </w:p>
        </w:tc>
        <w:tc>
          <w:tcPr>
            <w:tcW w:w="3548" w:type="dxa"/>
            <w:shd w:val="clear" w:color="auto" w:fill="auto"/>
            <w:vAlign w:val="center"/>
          </w:tcPr>
          <w:p w14:paraId="11F1A07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03C10D0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4CE1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3FA626D">
            <w:pPr>
              <w:jc w:val="center"/>
              <w:rPr>
                <w:rFonts w:ascii="宋体" w:hAnsi="宋体" w:eastAsia="宋体" w:cs="仿宋"/>
                <w:sz w:val="20"/>
                <w:szCs w:val="20"/>
              </w:rPr>
            </w:pPr>
          </w:p>
        </w:tc>
        <w:tc>
          <w:tcPr>
            <w:tcW w:w="628" w:type="dxa"/>
            <w:shd w:val="clear" w:color="auto" w:fill="auto"/>
            <w:vAlign w:val="center"/>
          </w:tcPr>
          <w:p w14:paraId="3C6B00E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73 </w:t>
            </w:r>
          </w:p>
        </w:tc>
        <w:tc>
          <w:tcPr>
            <w:tcW w:w="1379" w:type="dxa"/>
            <w:shd w:val="clear" w:color="auto" w:fill="auto"/>
            <w:vAlign w:val="top"/>
          </w:tcPr>
          <w:p w14:paraId="557A2208">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080DC18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机柜功能</w:t>
            </w:r>
          </w:p>
        </w:tc>
        <w:tc>
          <w:tcPr>
            <w:tcW w:w="1343" w:type="dxa"/>
            <w:shd w:val="clear" w:color="auto" w:fill="auto"/>
            <w:vAlign w:val="center"/>
          </w:tcPr>
          <w:p w14:paraId="4CA357E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机柜通信方式</w:t>
            </w:r>
          </w:p>
        </w:tc>
        <w:tc>
          <w:tcPr>
            <w:tcW w:w="3548" w:type="dxa"/>
            <w:shd w:val="clear" w:color="auto" w:fill="auto"/>
            <w:vAlign w:val="center"/>
          </w:tcPr>
          <w:p w14:paraId="5A74704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127E830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DE8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34C9471">
            <w:pPr>
              <w:jc w:val="center"/>
              <w:rPr>
                <w:rFonts w:ascii="宋体" w:hAnsi="宋体" w:eastAsia="宋体" w:cs="仿宋"/>
                <w:sz w:val="20"/>
                <w:szCs w:val="20"/>
              </w:rPr>
            </w:pPr>
          </w:p>
        </w:tc>
        <w:tc>
          <w:tcPr>
            <w:tcW w:w="628" w:type="dxa"/>
            <w:shd w:val="clear" w:color="auto" w:fill="auto"/>
            <w:vAlign w:val="center"/>
          </w:tcPr>
          <w:p w14:paraId="38099CA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74 </w:t>
            </w:r>
          </w:p>
        </w:tc>
        <w:tc>
          <w:tcPr>
            <w:tcW w:w="1379" w:type="dxa"/>
            <w:shd w:val="clear" w:color="auto" w:fill="auto"/>
            <w:vAlign w:val="top"/>
          </w:tcPr>
          <w:p w14:paraId="656F2BEF">
            <w:pPr>
              <w:keepNext w:val="0"/>
              <w:keepLines w:val="0"/>
              <w:widowControl/>
              <w:suppressLineNumbers w:val="0"/>
              <w:jc w:val="left"/>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功能要求</w:t>
            </w:r>
          </w:p>
        </w:tc>
        <w:tc>
          <w:tcPr>
            <w:tcW w:w="832" w:type="dxa"/>
            <w:shd w:val="clear" w:color="auto" w:fill="auto"/>
            <w:vAlign w:val="center"/>
          </w:tcPr>
          <w:p w14:paraId="7A5900F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机柜功能</w:t>
            </w:r>
          </w:p>
        </w:tc>
        <w:tc>
          <w:tcPr>
            <w:tcW w:w="1343" w:type="dxa"/>
            <w:shd w:val="clear" w:color="auto" w:fill="auto"/>
            <w:vAlign w:val="center"/>
          </w:tcPr>
          <w:p w14:paraId="4331E96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多集群作业管理</w:t>
            </w:r>
          </w:p>
        </w:tc>
        <w:tc>
          <w:tcPr>
            <w:tcW w:w="3548" w:type="dxa"/>
            <w:shd w:val="clear" w:color="auto" w:fill="auto"/>
            <w:vAlign w:val="center"/>
          </w:tcPr>
          <w:p w14:paraId="4123198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74F39A6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248B2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9D75775">
            <w:pPr>
              <w:jc w:val="center"/>
              <w:rPr>
                <w:rFonts w:ascii="宋体" w:hAnsi="宋体" w:eastAsia="宋体" w:cs="仿宋"/>
                <w:sz w:val="20"/>
                <w:szCs w:val="20"/>
              </w:rPr>
            </w:pPr>
          </w:p>
        </w:tc>
        <w:tc>
          <w:tcPr>
            <w:tcW w:w="628" w:type="dxa"/>
            <w:shd w:val="clear" w:color="auto" w:fill="auto"/>
            <w:vAlign w:val="center"/>
          </w:tcPr>
          <w:p w14:paraId="37FAF79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75 </w:t>
            </w:r>
          </w:p>
        </w:tc>
        <w:tc>
          <w:tcPr>
            <w:tcW w:w="1379" w:type="dxa"/>
            <w:shd w:val="clear" w:color="auto" w:fill="auto"/>
            <w:vAlign w:val="center"/>
          </w:tcPr>
          <w:p w14:paraId="0C4613E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4A974CA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*关键部件安全要求</w:t>
            </w:r>
          </w:p>
        </w:tc>
        <w:tc>
          <w:tcPr>
            <w:tcW w:w="1343" w:type="dxa"/>
            <w:shd w:val="clear" w:color="auto" w:fill="auto"/>
            <w:vAlign w:val="center"/>
          </w:tcPr>
          <w:p w14:paraId="74349A5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*关键部件安全要求3</w:t>
            </w:r>
          </w:p>
        </w:tc>
        <w:tc>
          <w:tcPr>
            <w:tcW w:w="3548" w:type="dxa"/>
            <w:shd w:val="clear" w:color="auto" w:fill="auto"/>
            <w:vAlign w:val="center"/>
          </w:tcPr>
          <w:p w14:paraId="02BD8E5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2D1E29F7">
            <w:pPr>
              <w:keepNext w:val="0"/>
              <w:keepLines w:val="0"/>
              <w:widowControl/>
              <w:suppressLineNumbers w:val="0"/>
              <w:jc w:val="center"/>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r>
      <w:tr w14:paraId="0769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B2D053C">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6A4DA26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76 </w:t>
            </w:r>
          </w:p>
        </w:tc>
        <w:tc>
          <w:tcPr>
            <w:tcW w:w="1379" w:type="dxa"/>
            <w:shd w:val="clear" w:color="auto" w:fill="auto"/>
            <w:vAlign w:val="center"/>
          </w:tcPr>
          <w:p w14:paraId="08D40B1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634DB9F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76BEEF6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*故障检测</w:t>
            </w:r>
          </w:p>
        </w:tc>
        <w:tc>
          <w:tcPr>
            <w:tcW w:w="3548" w:type="dxa"/>
            <w:shd w:val="clear" w:color="auto" w:fill="auto"/>
            <w:vAlign w:val="center"/>
          </w:tcPr>
          <w:p w14:paraId="0ADF3077">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支持故障检测功能，可以检测到具体的 FRU（内存、硬盘等）的故障并发出告警</w:t>
            </w:r>
          </w:p>
        </w:tc>
        <w:tc>
          <w:tcPr>
            <w:tcW w:w="1293" w:type="dxa"/>
            <w:shd w:val="clear" w:color="auto" w:fill="auto"/>
            <w:vAlign w:val="center"/>
          </w:tcPr>
          <w:p w14:paraId="23DCA70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974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922ECE1">
            <w:pPr>
              <w:jc w:val="center"/>
              <w:rPr>
                <w:rFonts w:ascii="宋体" w:hAnsi="宋体" w:eastAsia="宋体" w:cs="仿宋"/>
                <w:sz w:val="20"/>
                <w:szCs w:val="20"/>
              </w:rPr>
            </w:pPr>
          </w:p>
        </w:tc>
        <w:tc>
          <w:tcPr>
            <w:tcW w:w="628" w:type="dxa"/>
            <w:shd w:val="clear" w:color="auto" w:fill="auto"/>
            <w:vAlign w:val="center"/>
          </w:tcPr>
          <w:p w14:paraId="5FD784C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77 </w:t>
            </w:r>
          </w:p>
        </w:tc>
        <w:tc>
          <w:tcPr>
            <w:tcW w:w="1379" w:type="dxa"/>
            <w:shd w:val="clear" w:color="auto" w:fill="auto"/>
            <w:vAlign w:val="center"/>
          </w:tcPr>
          <w:p w14:paraId="0FFE1CA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3426C1A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65CD03AC">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内存故障智能预测和自愈修复</w:t>
            </w:r>
          </w:p>
        </w:tc>
        <w:tc>
          <w:tcPr>
            <w:tcW w:w="3548" w:type="dxa"/>
            <w:shd w:val="clear" w:color="auto" w:fill="auto"/>
            <w:vAlign w:val="center"/>
          </w:tcPr>
          <w:p w14:paraId="0C4EE8D1">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4493251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5F44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3892672">
            <w:pPr>
              <w:jc w:val="center"/>
              <w:rPr>
                <w:rFonts w:ascii="宋体" w:hAnsi="宋体" w:eastAsia="宋体" w:cs="仿宋"/>
                <w:sz w:val="20"/>
                <w:szCs w:val="20"/>
              </w:rPr>
            </w:pPr>
          </w:p>
        </w:tc>
        <w:tc>
          <w:tcPr>
            <w:tcW w:w="628" w:type="dxa"/>
            <w:shd w:val="clear" w:color="auto" w:fill="auto"/>
            <w:vAlign w:val="center"/>
          </w:tcPr>
          <w:p w14:paraId="7D3803D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78 </w:t>
            </w:r>
          </w:p>
        </w:tc>
        <w:tc>
          <w:tcPr>
            <w:tcW w:w="1379" w:type="dxa"/>
            <w:shd w:val="clear" w:color="auto" w:fill="auto"/>
            <w:vAlign w:val="center"/>
          </w:tcPr>
          <w:p w14:paraId="71831FC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01B2B8B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12ED6AF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硬盘故障智能预测</w:t>
            </w:r>
          </w:p>
        </w:tc>
        <w:tc>
          <w:tcPr>
            <w:tcW w:w="3548" w:type="dxa"/>
            <w:shd w:val="clear" w:color="auto" w:fill="auto"/>
            <w:vAlign w:val="center"/>
          </w:tcPr>
          <w:p w14:paraId="35F07BD2">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3EB393B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5D3D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D896DC5">
            <w:pPr>
              <w:jc w:val="center"/>
              <w:rPr>
                <w:rFonts w:ascii="宋体" w:hAnsi="宋体" w:eastAsia="宋体" w:cs="仿宋"/>
                <w:sz w:val="20"/>
                <w:szCs w:val="20"/>
              </w:rPr>
            </w:pPr>
          </w:p>
        </w:tc>
        <w:tc>
          <w:tcPr>
            <w:tcW w:w="628" w:type="dxa"/>
            <w:shd w:val="clear" w:color="auto" w:fill="auto"/>
            <w:vAlign w:val="center"/>
          </w:tcPr>
          <w:p w14:paraId="73C89DA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79 </w:t>
            </w:r>
          </w:p>
        </w:tc>
        <w:tc>
          <w:tcPr>
            <w:tcW w:w="1379" w:type="dxa"/>
            <w:shd w:val="clear" w:color="auto" w:fill="auto"/>
            <w:vAlign w:val="center"/>
          </w:tcPr>
          <w:p w14:paraId="35D5B01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3DCD079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535FEB8A">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PCIe 链路故障智能诊断</w:t>
            </w:r>
          </w:p>
        </w:tc>
        <w:tc>
          <w:tcPr>
            <w:tcW w:w="3548" w:type="dxa"/>
            <w:shd w:val="clear" w:color="auto" w:fill="auto"/>
            <w:vAlign w:val="center"/>
          </w:tcPr>
          <w:p w14:paraId="18728FB5">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53AD9BA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671C0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6255538">
            <w:pPr>
              <w:jc w:val="center"/>
              <w:rPr>
                <w:rFonts w:ascii="宋体" w:hAnsi="宋体" w:eastAsia="宋体" w:cs="仿宋"/>
                <w:sz w:val="20"/>
                <w:szCs w:val="20"/>
              </w:rPr>
            </w:pPr>
          </w:p>
        </w:tc>
        <w:tc>
          <w:tcPr>
            <w:tcW w:w="628" w:type="dxa"/>
            <w:shd w:val="clear" w:color="auto" w:fill="auto"/>
            <w:vAlign w:val="center"/>
          </w:tcPr>
          <w:p w14:paraId="36A314F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80 </w:t>
            </w:r>
          </w:p>
        </w:tc>
        <w:tc>
          <w:tcPr>
            <w:tcW w:w="1379" w:type="dxa"/>
            <w:shd w:val="clear" w:color="auto" w:fill="auto"/>
            <w:vAlign w:val="center"/>
          </w:tcPr>
          <w:p w14:paraId="01D3602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4A2E21D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4232D46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内存故障隔离</w:t>
            </w:r>
          </w:p>
        </w:tc>
        <w:tc>
          <w:tcPr>
            <w:tcW w:w="3548" w:type="dxa"/>
            <w:shd w:val="clear" w:color="auto" w:fill="auto"/>
            <w:vAlign w:val="center"/>
          </w:tcPr>
          <w:p w14:paraId="026F05CB">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491A4B7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0FAB7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0AC43F8">
            <w:pPr>
              <w:jc w:val="center"/>
              <w:rPr>
                <w:rFonts w:ascii="宋体" w:hAnsi="宋体" w:eastAsia="宋体" w:cs="仿宋"/>
                <w:sz w:val="20"/>
                <w:szCs w:val="20"/>
              </w:rPr>
            </w:pPr>
          </w:p>
        </w:tc>
        <w:tc>
          <w:tcPr>
            <w:tcW w:w="628" w:type="dxa"/>
            <w:shd w:val="clear" w:color="auto" w:fill="auto"/>
            <w:vAlign w:val="center"/>
          </w:tcPr>
          <w:p w14:paraId="69CED8A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81 </w:t>
            </w:r>
          </w:p>
        </w:tc>
        <w:tc>
          <w:tcPr>
            <w:tcW w:w="1379" w:type="dxa"/>
            <w:shd w:val="clear" w:color="auto" w:fill="auto"/>
            <w:vAlign w:val="center"/>
          </w:tcPr>
          <w:p w14:paraId="71FCD3F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48FFF2E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623215DA">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内存、PCIe卡的故障精准告警功能</w:t>
            </w:r>
          </w:p>
        </w:tc>
        <w:tc>
          <w:tcPr>
            <w:tcW w:w="3548" w:type="dxa"/>
            <w:shd w:val="clear" w:color="auto" w:fill="auto"/>
            <w:vAlign w:val="center"/>
          </w:tcPr>
          <w:p w14:paraId="0BBC2BD6">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725A309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DABF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8B0FCA0">
            <w:pPr>
              <w:jc w:val="center"/>
              <w:rPr>
                <w:rFonts w:ascii="宋体" w:hAnsi="宋体" w:eastAsia="宋体" w:cs="仿宋"/>
                <w:sz w:val="20"/>
                <w:szCs w:val="20"/>
              </w:rPr>
            </w:pPr>
          </w:p>
        </w:tc>
        <w:tc>
          <w:tcPr>
            <w:tcW w:w="628" w:type="dxa"/>
            <w:shd w:val="clear" w:color="auto" w:fill="auto"/>
            <w:vAlign w:val="center"/>
          </w:tcPr>
          <w:p w14:paraId="29FF417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82 </w:t>
            </w:r>
          </w:p>
        </w:tc>
        <w:tc>
          <w:tcPr>
            <w:tcW w:w="1379" w:type="dxa"/>
            <w:shd w:val="clear" w:color="auto" w:fill="auto"/>
            <w:vAlign w:val="center"/>
          </w:tcPr>
          <w:p w14:paraId="18C001D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4D4616E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3741A03E">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异常下电关键数据保护</w:t>
            </w:r>
          </w:p>
        </w:tc>
        <w:tc>
          <w:tcPr>
            <w:tcW w:w="3548" w:type="dxa"/>
            <w:shd w:val="clear" w:color="auto" w:fill="auto"/>
            <w:vAlign w:val="center"/>
          </w:tcPr>
          <w:p w14:paraId="3B2D2D29">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4A31A31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69975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60C5582">
            <w:pPr>
              <w:jc w:val="center"/>
              <w:rPr>
                <w:rFonts w:ascii="宋体" w:hAnsi="宋体" w:eastAsia="宋体" w:cs="仿宋"/>
                <w:sz w:val="20"/>
                <w:szCs w:val="20"/>
              </w:rPr>
            </w:pPr>
          </w:p>
        </w:tc>
        <w:tc>
          <w:tcPr>
            <w:tcW w:w="628" w:type="dxa"/>
            <w:shd w:val="clear" w:color="auto" w:fill="auto"/>
            <w:vAlign w:val="center"/>
          </w:tcPr>
          <w:p w14:paraId="61754F3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83 </w:t>
            </w:r>
          </w:p>
        </w:tc>
        <w:tc>
          <w:tcPr>
            <w:tcW w:w="1379" w:type="dxa"/>
            <w:shd w:val="clear" w:color="auto" w:fill="auto"/>
            <w:vAlign w:val="center"/>
          </w:tcPr>
          <w:p w14:paraId="7A820A8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6DE88B8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6BB1B328">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BMC/BIOS固件双镜像保护</w:t>
            </w:r>
          </w:p>
        </w:tc>
        <w:tc>
          <w:tcPr>
            <w:tcW w:w="3548" w:type="dxa"/>
            <w:shd w:val="clear" w:color="auto" w:fill="auto"/>
            <w:vAlign w:val="center"/>
          </w:tcPr>
          <w:p w14:paraId="107D98CE">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25A1FD5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AF9E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A20B4F1">
            <w:pPr>
              <w:jc w:val="center"/>
              <w:rPr>
                <w:rFonts w:ascii="宋体" w:hAnsi="宋体" w:eastAsia="宋体" w:cs="仿宋"/>
                <w:sz w:val="20"/>
                <w:szCs w:val="20"/>
              </w:rPr>
            </w:pPr>
          </w:p>
        </w:tc>
        <w:tc>
          <w:tcPr>
            <w:tcW w:w="628" w:type="dxa"/>
            <w:shd w:val="clear" w:color="auto" w:fill="auto"/>
            <w:vAlign w:val="center"/>
          </w:tcPr>
          <w:p w14:paraId="216F6C7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84 </w:t>
            </w:r>
          </w:p>
        </w:tc>
        <w:tc>
          <w:tcPr>
            <w:tcW w:w="1379" w:type="dxa"/>
            <w:shd w:val="clear" w:color="auto" w:fill="auto"/>
            <w:vAlign w:val="center"/>
          </w:tcPr>
          <w:p w14:paraId="44C7B36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3FD2F9D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69FE0AD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CPU 核重启隔离</w:t>
            </w:r>
          </w:p>
        </w:tc>
        <w:tc>
          <w:tcPr>
            <w:tcW w:w="3548" w:type="dxa"/>
            <w:shd w:val="clear" w:color="auto" w:fill="auto"/>
            <w:vAlign w:val="center"/>
          </w:tcPr>
          <w:p w14:paraId="4664FD71">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01C2931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58A7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DB8E368">
            <w:pPr>
              <w:jc w:val="center"/>
              <w:rPr>
                <w:rFonts w:ascii="宋体" w:hAnsi="宋体" w:eastAsia="宋体" w:cs="仿宋"/>
                <w:sz w:val="20"/>
                <w:szCs w:val="20"/>
              </w:rPr>
            </w:pPr>
          </w:p>
        </w:tc>
        <w:tc>
          <w:tcPr>
            <w:tcW w:w="628" w:type="dxa"/>
            <w:shd w:val="clear" w:color="auto" w:fill="auto"/>
            <w:vAlign w:val="center"/>
          </w:tcPr>
          <w:p w14:paraId="1376D01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85 </w:t>
            </w:r>
          </w:p>
        </w:tc>
        <w:tc>
          <w:tcPr>
            <w:tcW w:w="1379" w:type="dxa"/>
            <w:shd w:val="clear" w:color="auto" w:fill="auto"/>
            <w:vAlign w:val="center"/>
          </w:tcPr>
          <w:p w14:paraId="6FE0814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53F3601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540370F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内存地址隔离</w:t>
            </w:r>
          </w:p>
        </w:tc>
        <w:tc>
          <w:tcPr>
            <w:tcW w:w="3548" w:type="dxa"/>
            <w:shd w:val="clear" w:color="auto" w:fill="auto"/>
            <w:vAlign w:val="center"/>
          </w:tcPr>
          <w:p w14:paraId="5B12C8E4">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4755AD9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5FCD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2702723">
            <w:pPr>
              <w:jc w:val="center"/>
              <w:rPr>
                <w:rFonts w:ascii="宋体" w:hAnsi="宋体" w:eastAsia="宋体" w:cs="仿宋"/>
                <w:sz w:val="20"/>
                <w:szCs w:val="20"/>
              </w:rPr>
            </w:pPr>
          </w:p>
        </w:tc>
        <w:tc>
          <w:tcPr>
            <w:tcW w:w="628" w:type="dxa"/>
            <w:shd w:val="clear" w:color="auto" w:fill="auto"/>
            <w:vAlign w:val="center"/>
          </w:tcPr>
          <w:p w14:paraId="1F1D0A7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86 </w:t>
            </w:r>
          </w:p>
        </w:tc>
        <w:tc>
          <w:tcPr>
            <w:tcW w:w="1379" w:type="dxa"/>
            <w:shd w:val="clear" w:color="auto" w:fill="auto"/>
            <w:vAlign w:val="center"/>
          </w:tcPr>
          <w:p w14:paraId="10CDC05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46A8CEE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16D19A5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内存存储阵列替换</w:t>
            </w:r>
          </w:p>
        </w:tc>
        <w:tc>
          <w:tcPr>
            <w:tcW w:w="3548" w:type="dxa"/>
            <w:shd w:val="clear" w:color="auto" w:fill="auto"/>
            <w:vAlign w:val="center"/>
          </w:tcPr>
          <w:p w14:paraId="734B10A5">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36BD729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1636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6349FC8">
            <w:pPr>
              <w:jc w:val="center"/>
              <w:rPr>
                <w:rFonts w:ascii="宋体" w:hAnsi="宋体" w:eastAsia="宋体" w:cs="仿宋"/>
                <w:sz w:val="20"/>
                <w:szCs w:val="20"/>
              </w:rPr>
            </w:pPr>
          </w:p>
        </w:tc>
        <w:tc>
          <w:tcPr>
            <w:tcW w:w="628" w:type="dxa"/>
            <w:shd w:val="clear" w:color="auto" w:fill="auto"/>
            <w:vAlign w:val="center"/>
          </w:tcPr>
          <w:p w14:paraId="174CF8D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87 </w:t>
            </w:r>
          </w:p>
        </w:tc>
        <w:tc>
          <w:tcPr>
            <w:tcW w:w="1379" w:type="dxa"/>
            <w:shd w:val="clear" w:color="auto" w:fill="auto"/>
            <w:vAlign w:val="center"/>
          </w:tcPr>
          <w:p w14:paraId="4C6FF5C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633E01D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*固件安全要求</w:t>
            </w:r>
          </w:p>
        </w:tc>
        <w:tc>
          <w:tcPr>
            <w:tcW w:w="1343" w:type="dxa"/>
            <w:shd w:val="clear" w:color="auto" w:fill="auto"/>
            <w:vAlign w:val="center"/>
          </w:tcPr>
          <w:p w14:paraId="7A0253A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安全启动</w:t>
            </w:r>
          </w:p>
        </w:tc>
        <w:tc>
          <w:tcPr>
            <w:tcW w:w="3548" w:type="dxa"/>
            <w:shd w:val="clear" w:color="auto" w:fill="auto"/>
            <w:vAlign w:val="center"/>
          </w:tcPr>
          <w:p w14:paraId="4E27D342">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29FD8BF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36EA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9EE6C65">
            <w:pPr>
              <w:jc w:val="center"/>
              <w:rPr>
                <w:rFonts w:ascii="宋体" w:hAnsi="宋体" w:eastAsia="宋体" w:cs="仿宋"/>
                <w:sz w:val="20"/>
                <w:szCs w:val="20"/>
              </w:rPr>
            </w:pPr>
          </w:p>
        </w:tc>
        <w:tc>
          <w:tcPr>
            <w:tcW w:w="628" w:type="dxa"/>
            <w:shd w:val="clear" w:color="auto" w:fill="auto"/>
            <w:vAlign w:val="center"/>
          </w:tcPr>
          <w:p w14:paraId="646E42E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88 </w:t>
            </w:r>
          </w:p>
        </w:tc>
        <w:tc>
          <w:tcPr>
            <w:tcW w:w="1379" w:type="dxa"/>
            <w:shd w:val="clear" w:color="auto" w:fill="auto"/>
            <w:vAlign w:val="center"/>
          </w:tcPr>
          <w:p w14:paraId="311A1E1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7E052D5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*系统安全要求</w:t>
            </w:r>
          </w:p>
        </w:tc>
        <w:tc>
          <w:tcPr>
            <w:tcW w:w="1343" w:type="dxa"/>
            <w:shd w:val="clear" w:color="auto" w:fill="auto"/>
            <w:vAlign w:val="center"/>
          </w:tcPr>
          <w:p w14:paraId="18414EA6">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syslog 双向鉴别</w:t>
            </w:r>
          </w:p>
        </w:tc>
        <w:tc>
          <w:tcPr>
            <w:tcW w:w="3548" w:type="dxa"/>
            <w:shd w:val="clear" w:color="auto" w:fill="auto"/>
            <w:vAlign w:val="center"/>
          </w:tcPr>
          <w:p w14:paraId="40E185BC">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2D51738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54AA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7B2E89B">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5758D57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89 </w:t>
            </w:r>
          </w:p>
        </w:tc>
        <w:tc>
          <w:tcPr>
            <w:tcW w:w="1379" w:type="dxa"/>
            <w:shd w:val="clear" w:color="auto" w:fill="auto"/>
            <w:vAlign w:val="center"/>
          </w:tcPr>
          <w:p w14:paraId="342A775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0FAE17F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*系统安全要求</w:t>
            </w:r>
          </w:p>
        </w:tc>
        <w:tc>
          <w:tcPr>
            <w:tcW w:w="1343" w:type="dxa"/>
            <w:shd w:val="clear" w:color="auto" w:fill="auto"/>
            <w:vAlign w:val="center"/>
          </w:tcPr>
          <w:p w14:paraId="6F6E2B8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*弱口令字典检查</w:t>
            </w:r>
          </w:p>
        </w:tc>
        <w:tc>
          <w:tcPr>
            <w:tcW w:w="3548" w:type="dxa"/>
            <w:shd w:val="clear" w:color="auto" w:fill="auto"/>
            <w:vAlign w:val="center"/>
          </w:tcPr>
          <w:p w14:paraId="10F01D86">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支持弱口令字典检查功能，出现在弱口令字典中的字符串不能被设置为用户口令</w:t>
            </w:r>
          </w:p>
        </w:tc>
        <w:tc>
          <w:tcPr>
            <w:tcW w:w="1293" w:type="dxa"/>
            <w:shd w:val="clear" w:color="auto" w:fill="auto"/>
            <w:vAlign w:val="center"/>
          </w:tcPr>
          <w:p w14:paraId="7046ABA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7638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75376FC">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29D0BE8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90 </w:t>
            </w:r>
          </w:p>
        </w:tc>
        <w:tc>
          <w:tcPr>
            <w:tcW w:w="1379" w:type="dxa"/>
            <w:shd w:val="clear" w:color="auto" w:fill="auto"/>
            <w:vAlign w:val="center"/>
          </w:tcPr>
          <w:p w14:paraId="16F21F6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6BC0E0F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*系统安全要求</w:t>
            </w:r>
          </w:p>
        </w:tc>
        <w:tc>
          <w:tcPr>
            <w:tcW w:w="1343" w:type="dxa"/>
            <w:shd w:val="clear" w:color="auto" w:fill="auto"/>
            <w:vAlign w:val="center"/>
          </w:tcPr>
          <w:p w14:paraId="0219D37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*白名单访问控制</w:t>
            </w:r>
          </w:p>
        </w:tc>
        <w:tc>
          <w:tcPr>
            <w:tcW w:w="3548" w:type="dxa"/>
            <w:shd w:val="clear" w:color="auto" w:fill="auto"/>
            <w:vAlign w:val="center"/>
          </w:tcPr>
          <w:p w14:paraId="3F0AC831">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支持基于时间、IP 或 MAC 白名单访问控制</w:t>
            </w:r>
          </w:p>
        </w:tc>
        <w:tc>
          <w:tcPr>
            <w:tcW w:w="1293" w:type="dxa"/>
            <w:shd w:val="clear" w:color="auto" w:fill="auto"/>
            <w:vAlign w:val="center"/>
          </w:tcPr>
          <w:p w14:paraId="3B57FCF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2360E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267EF3A">
            <w:pPr>
              <w:jc w:val="center"/>
              <w:rPr>
                <w:rFonts w:ascii="宋体" w:hAnsi="宋体" w:eastAsia="宋体" w:cs="仿宋"/>
                <w:sz w:val="20"/>
                <w:szCs w:val="20"/>
              </w:rPr>
            </w:pPr>
          </w:p>
        </w:tc>
        <w:tc>
          <w:tcPr>
            <w:tcW w:w="628" w:type="dxa"/>
            <w:shd w:val="clear" w:color="auto" w:fill="auto"/>
            <w:vAlign w:val="center"/>
          </w:tcPr>
          <w:p w14:paraId="11C8165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91 </w:t>
            </w:r>
          </w:p>
        </w:tc>
        <w:tc>
          <w:tcPr>
            <w:tcW w:w="1379" w:type="dxa"/>
            <w:shd w:val="clear" w:color="auto" w:fill="auto"/>
            <w:vAlign w:val="center"/>
          </w:tcPr>
          <w:p w14:paraId="79658A9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183D490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*系统安全要求</w:t>
            </w:r>
          </w:p>
        </w:tc>
        <w:tc>
          <w:tcPr>
            <w:tcW w:w="1343" w:type="dxa"/>
            <w:shd w:val="clear" w:color="auto" w:fill="auto"/>
            <w:vAlign w:val="center"/>
          </w:tcPr>
          <w:p w14:paraId="7AD09AA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双因素鉴别</w:t>
            </w:r>
          </w:p>
        </w:tc>
        <w:tc>
          <w:tcPr>
            <w:tcW w:w="3548" w:type="dxa"/>
            <w:shd w:val="clear" w:color="auto" w:fill="auto"/>
            <w:vAlign w:val="center"/>
          </w:tcPr>
          <w:p w14:paraId="02CDB06E">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0942568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5F82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F144FD1">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032B561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92 </w:t>
            </w:r>
          </w:p>
        </w:tc>
        <w:tc>
          <w:tcPr>
            <w:tcW w:w="1379" w:type="dxa"/>
            <w:shd w:val="clear" w:color="auto" w:fill="auto"/>
            <w:vAlign w:val="center"/>
          </w:tcPr>
          <w:p w14:paraId="04EE07A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020B228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*系统安全要求</w:t>
            </w:r>
          </w:p>
        </w:tc>
        <w:tc>
          <w:tcPr>
            <w:tcW w:w="1343" w:type="dxa"/>
            <w:shd w:val="clear" w:color="auto" w:fill="auto"/>
            <w:vAlign w:val="center"/>
          </w:tcPr>
          <w:p w14:paraId="6623B21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*二次鉴别</w:t>
            </w:r>
          </w:p>
        </w:tc>
        <w:tc>
          <w:tcPr>
            <w:tcW w:w="3548" w:type="dxa"/>
            <w:shd w:val="clear" w:color="auto" w:fill="auto"/>
            <w:vAlign w:val="center"/>
          </w:tcPr>
          <w:p w14:paraId="745A207C">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支持二次鉴别功能。对于用户配置、权限配置、公钥导入等重要的管理操作，已登录用户应通过二次鉴别后，才能执行操作</w:t>
            </w:r>
          </w:p>
        </w:tc>
        <w:tc>
          <w:tcPr>
            <w:tcW w:w="1293" w:type="dxa"/>
            <w:shd w:val="clear" w:color="auto" w:fill="auto"/>
            <w:vAlign w:val="center"/>
          </w:tcPr>
          <w:p w14:paraId="15EFDE6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345B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3F5C486">
            <w:pPr>
              <w:jc w:val="center"/>
              <w:rPr>
                <w:rFonts w:ascii="宋体" w:hAnsi="宋体" w:eastAsia="宋体" w:cs="仿宋"/>
                <w:sz w:val="20"/>
                <w:szCs w:val="20"/>
              </w:rPr>
            </w:pPr>
          </w:p>
        </w:tc>
        <w:tc>
          <w:tcPr>
            <w:tcW w:w="628" w:type="dxa"/>
            <w:shd w:val="clear" w:color="auto" w:fill="auto"/>
            <w:vAlign w:val="center"/>
          </w:tcPr>
          <w:p w14:paraId="06CA9D0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93 </w:t>
            </w:r>
          </w:p>
        </w:tc>
        <w:tc>
          <w:tcPr>
            <w:tcW w:w="1379" w:type="dxa"/>
            <w:shd w:val="clear" w:color="auto" w:fill="auto"/>
            <w:vAlign w:val="center"/>
          </w:tcPr>
          <w:p w14:paraId="6468B39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2792913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*系统安全要求</w:t>
            </w:r>
          </w:p>
        </w:tc>
        <w:tc>
          <w:tcPr>
            <w:tcW w:w="1343" w:type="dxa"/>
            <w:shd w:val="clear" w:color="auto" w:fill="auto"/>
            <w:vAlign w:val="center"/>
          </w:tcPr>
          <w:p w14:paraId="1E8CC32C">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匿名化用户告警接收邮箱</w:t>
            </w:r>
          </w:p>
        </w:tc>
        <w:tc>
          <w:tcPr>
            <w:tcW w:w="3548" w:type="dxa"/>
            <w:shd w:val="clear" w:color="auto" w:fill="auto"/>
            <w:vAlign w:val="center"/>
          </w:tcPr>
          <w:p w14:paraId="18A8AAF0">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15A354F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505D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823F95F">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928139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94 </w:t>
            </w:r>
          </w:p>
        </w:tc>
        <w:tc>
          <w:tcPr>
            <w:tcW w:w="1379" w:type="dxa"/>
            <w:shd w:val="clear" w:color="auto" w:fill="auto"/>
            <w:vAlign w:val="center"/>
          </w:tcPr>
          <w:p w14:paraId="17498BF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1F7F31F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*系统安全要求</w:t>
            </w:r>
          </w:p>
        </w:tc>
        <w:tc>
          <w:tcPr>
            <w:tcW w:w="1343" w:type="dxa"/>
            <w:shd w:val="clear" w:color="auto" w:fill="auto"/>
            <w:vAlign w:val="center"/>
          </w:tcPr>
          <w:p w14:paraId="3E3E317F">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*密码证书安全加密存储</w:t>
            </w:r>
          </w:p>
        </w:tc>
        <w:tc>
          <w:tcPr>
            <w:tcW w:w="3548" w:type="dxa"/>
            <w:shd w:val="clear" w:color="auto" w:fill="auto"/>
            <w:vAlign w:val="center"/>
          </w:tcPr>
          <w:p w14:paraId="0280D677">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支持对带外管理系统中的用户口令和证书等敏感信息进行加密存储，禁止使用私有的和业界已知不安全的密码算法</w:t>
            </w:r>
          </w:p>
        </w:tc>
        <w:tc>
          <w:tcPr>
            <w:tcW w:w="1293" w:type="dxa"/>
            <w:shd w:val="clear" w:color="auto" w:fill="auto"/>
            <w:vAlign w:val="center"/>
          </w:tcPr>
          <w:p w14:paraId="59EE3E1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1F6A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40F8EC0">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5556FEF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95 </w:t>
            </w:r>
          </w:p>
        </w:tc>
        <w:tc>
          <w:tcPr>
            <w:tcW w:w="1379" w:type="dxa"/>
            <w:shd w:val="clear" w:color="auto" w:fill="auto"/>
            <w:vAlign w:val="center"/>
          </w:tcPr>
          <w:p w14:paraId="0108D80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0C5A102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*系统安全要求</w:t>
            </w:r>
          </w:p>
        </w:tc>
        <w:tc>
          <w:tcPr>
            <w:tcW w:w="1343" w:type="dxa"/>
            <w:shd w:val="clear" w:color="auto" w:fill="auto"/>
            <w:vAlign w:val="center"/>
          </w:tcPr>
          <w:p w14:paraId="29F7E522">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*敏感信息安全加密传输</w:t>
            </w:r>
          </w:p>
        </w:tc>
        <w:tc>
          <w:tcPr>
            <w:tcW w:w="3548" w:type="dxa"/>
            <w:shd w:val="clear" w:color="auto" w:fill="auto"/>
            <w:vAlign w:val="center"/>
          </w:tcPr>
          <w:p w14:paraId="786AD21B">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支持使用安全的传输加密协议（如SSH 或 HTTPS 等）传输用户的敏感信息</w:t>
            </w:r>
          </w:p>
        </w:tc>
        <w:tc>
          <w:tcPr>
            <w:tcW w:w="1293" w:type="dxa"/>
            <w:shd w:val="clear" w:color="auto" w:fill="auto"/>
            <w:vAlign w:val="center"/>
          </w:tcPr>
          <w:p w14:paraId="0F1D9DD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3CA5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9AB736B">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F74033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96 </w:t>
            </w:r>
          </w:p>
        </w:tc>
        <w:tc>
          <w:tcPr>
            <w:tcW w:w="1379" w:type="dxa"/>
            <w:shd w:val="clear" w:color="auto" w:fill="auto"/>
            <w:vAlign w:val="center"/>
          </w:tcPr>
          <w:p w14:paraId="08BEE89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2F1AA0B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*信息安全要求</w:t>
            </w:r>
          </w:p>
        </w:tc>
        <w:tc>
          <w:tcPr>
            <w:tcW w:w="1343" w:type="dxa"/>
            <w:shd w:val="clear" w:color="auto" w:fill="auto"/>
            <w:vAlign w:val="center"/>
          </w:tcPr>
          <w:p w14:paraId="2F0ECD7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*研发过程安全</w:t>
            </w:r>
          </w:p>
        </w:tc>
        <w:tc>
          <w:tcPr>
            <w:tcW w:w="3548" w:type="dxa"/>
            <w:shd w:val="clear" w:color="auto" w:fill="auto"/>
            <w:vAlign w:val="center"/>
          </w:tcPr>
          <w:p w14:paraId="7E41BBB2">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1293" w:type="dxa"/>
            <w:shd w:val="clear" w:color="auto" w:fill="auto"/>
            <w:vAlign w:val="center"/>
          </w:tcPr>
          <w:p w14:paraId="75F5696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A2F8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21C2747">
            <w:pPr>
              <w:jc w:val="center"/>
              <w:rPr>
                <w:rFonts w:ascii="宋体" w:hAnsi="宋体" w:eastAsia="宋体" w:cs="仿宋"/>
                <w:sz w:val="20"/>
                <w:szCs w:val="20"/>
              </w:rPr>
            </w:pPr>
          </w:p>
        </w:tc>
        <w:tc>
          <w:tcPr>
            <w:tcW w:w="628" w:type="dxa"/>
            <w:shd w:val="clear" w:color="auto" w:fill="auto"/>
            <w:vAlign w:val="center"/>
          </w:tcPr>
          <w:p w14:paraId="66AB853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97 </w:t>
            </w:r>
          </w:p>
        </w:tc>
        <w:tc>
          <w:tcPr>
            <w:tcW w:w="1379" w:type="dxa"/>
            <w:shd w:val="clear" w:color="auto" w:fill="auto"/>
            <w:vAlign w:val="center"/>
          </w:tcPr>
          <w:p w14:paraId="348AD28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0DA24B3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*信息安全要求</w:t>
            </w:r>
          </w:p>
        </w:tc>
        <w:tc>
          <w:tcPr>
            <w:tcW w:w="1343" w:type="dxa"/>
            <w:shd w:val="clear" w:color="auto" w:fill="auto"/>
            <w:vAlign w:val="center"/>
          </w:tcPr>
          <w:p w14:paraId="103FFFF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漏洞管理</w:t>
            </w:r>
          </w:p>
        </w:tc>
        <w:tc>
          <w:tcPr>
            <w:tcW w:w="3548" w:type="dxa"/>
            <w:shd w:val="clear" w:color="auto" w:fill="auto"/>
            <w:vAlign w:val="center"/>
          </w:tcPr>
          <w:p w14:paraId="01A51988">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115FA7C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842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2BA54E4">
            <w:pPr>
              <w:jc w:val="center"/>
              <w:rPr>
                <w:rFonts w:ascii="宋体" w:hAnsi="宋体" w:eastAsia="宋体" w:cs="仿宋"/>
                <w:sz w:val="20"/>
                <w:szCs w:val="20"/>
              </w:rPr>
            </w:pPr>
          </w:p>
        </w:tc>
        <w:tc>
          <w:tcPr>
            <w:tcW w:w="628" w:type="dxa"/>
            <w:shd w:val="clear" w:color="auto" w:fill="auto"/>
            <w:vAlign w:val="center"/>
          </w:tcPr>
          <w:p w14:paraId="7B364B2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98 </w:t>
            </w:r>
          </w:p>
        </w:tc>
        <w:tc>
          <w:tcPr>
            <w:tcW w:w="1379" w:type="dxa"/>
            <w:shd w:val="clear" w:color="auto" w:fill="auto"/>
            <w:vAlign w:val="center"/>
          </w:tcPr>
          <w:p w14:paraId="5BD5518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762F766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*信息安全要求</w:t>
            </w:r>
          </w:p>
        </w:tc>
        <w:tc>
          <w:tcPr>
            <w:tcW w:w="1343" w:type="dxa"/>
            <w:shd w:val="clear" w:color="auto" w:fill="auto"/>
            <w:vAlign w:val="center"/>
          </w:tcPr>
          <w:p w14:paraId="61515C3C">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网络关键设备服务器要求</w:t>
            </w:r>
          </w:p>
        </w:tc>
        <w:tc>
          <w:tcPr>
            <w:tcW w:w="3548" w:type="dxa"/>
            <w:shd w:val="clear" w:color="auto" w:fill="auto"/>
            <w:vAlign w:val="center"/>
          </w:tcPr>
          <w:p w14:paraId="0E9324D2">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46C4AD5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62C34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A7888E6">
            <w:pPr>
              <w:jc w:val="center"/>
              <w:rPr>
                <w:rFonts w:ascii="宋体" w:hAnsi="宋体" w:eastAsia="宋体" w:cs="仿宋"/>
                <w:sz w:val="20"/>
                <w:szCs w:val="20"/>
              </w:rPr>
            </w:pPr>
          </w:p>
        </w:tc>
        <w:tc>
          <w:tcPr>
            <w:tcW w:w="628" w:type="dxa"/>
            <w:shd w:val="clear" w:color="auto" w:fill="auto"/>
            <w:vAlign w:val="center"/>
          </w:tcPr>
          <w:p w14:paraId="3F2ED4A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99 </w:t>
            </w:r>
          </w:p>
        </w:tc>
        <w:tc>
          <w:tcPr>
            <w:tcW w:w="1379" w:type="dxa"/>
            <w:shd w:val="clear" w:color="auto" w:fill="auto"/>
            <w:vAlign w:val="center"/>
          </w:tcPr>
          <w:p w14:paraId="2125A18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0450FE8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*信息安全要求</w:t>
            </w:r>
          </w:p>
        </w:tc>
        <w:tc>
          <w:tcPr>
            <w:tcW w:w="1343" w:type="dxa"/>
            <w:shd w:val="clear" w:color="auto" w:fill="auto"/>
            <w:vAlign w:val="center"/>
          </w:tcPr>
          <w:p w14:paraId="0F9918A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增强要求</w:t>
            </w:r>
          </w:p>
        </w:tc>
        <w:tc>
          <w:tcPr>
            <w:tcW w:w="3548" w:type="dxa"/>
            <w:shd w:val="clear" w:color="auto" w:fill="auto"/>
            <w:vAlign w:val="center"/>
          </w:tcPr>
          <w:p w14:paraId="3BC7EFC1">
            <w:pPr>
              <w:keepNext w:val="0"/>
              <w:keepLines w:val="0"/>
              <w:widowControl/>
              <w:suppressLineNumbers w:val="0"/>
              <w:jc w:val="left"/>
              <w:textAlignment w:val="center"/>
              <w:rPr>
                <w:rFonts w:ascii="宋体" w:hAnsi="宋体" w:eastAsia="宋体" w:cs="仿宋"/>
                <w:kern w:val="0"/>
                <w:sz w:val="20"/>
                <w:szCs w:val="20"/>
                <w:lang w:val="en-US" w:eastAsia="zh-CN" w:bidi="ar"/>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49F44873">
            <w:pPr>
              <w:keepNext w:val="0"/>
              <w:keepLines w:val="0"/>
              <w:widowControl/>
              <w:suppressLineNumbers w:val="0"/>
              <w:jc w:val="center"/>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r>
      <w:tr w14:paraId="151A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14CF7A7">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2F3DAE5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100 </w:t>
            </w:r>
          </w:p>
        </w:tc>
        <w:tc>
          <w:tcPr>
            <w:tcW w:w="1379" w:type="dxa"/>
            <w:shd w:val="clear" w:color="auto" w:fill="auto"/>
            <w:vAlign w:val="center"/>
          </w:tcPr>
          <w:p w14:paraId="0FE6635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4E85DB8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*物理安全</w:t>
            </w:r>
          </w:p>
        </w:tc>
        <w:tc>
          <w:tcPr>
            <w:tcW w:w="1343" w:type="dxa"/>
            <w:shd w:val="clear" w:color="auto" w:fill="auto"/>
            <w:vAlign w:val="center"/>
          </w:tcPr>
          <w:p w14:paraId="4BFAF81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*物理安全</w:t>
            </w:r>
          </w:p>
        </w:tc>
        <w:tc>
          <w:tcPr>
            <w:tcW w:w="3548" w:type="dxa"/>
            <w:shd w:val="clear" w:color="auto" w:fill="auto"/>
            <w:vAlign w:val="center"/>
          </w:tcPr>
          <w:p w14:paraId="78B846D0">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安全要求应符合 GB 4943.1 的规定</w:t>
            </w:r>
          </w:p>
        </w:tc>
        <w:tc>
          <w:tcPr>
            <w:tcW w:w="1293" w:type="dxa"/>
            <w:shd w:val="clear" w:color="auto" w:fill="auto"/>
            <w:vAlign w:val="center"/>
          </w:tcPr>
          <w:p w14:paraId="27E4DF1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3780E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DE0B1F5">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0F19C2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101 </w:t>
            </w:r>
          </w:p>
        </w:tc>
        <w:tc>
          <w:tcPr>
            <w:tcW w:w="1379" w:type="dxa"/>
            <w:shd w:val="clear" w:color="auto" w:fill="auto"/>
            <w:vAlign w:val="center"/>
          </w:tcPr>
          <w:p w14:paraId="7C16474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安全要求</w:t>
            </w:r>
          </w:p>
        </w:tc>
        <w:tc>
          <w:tcPr>
            <w:tcW w:w="832" w:type="dxa"/>
            <w:shd w:val="clear" w:color="auto" w:fill="auto"/>
            <w:vAlign w:val="center"/>
          </w:tcPr>
          <w:p w14:paraId="0CA9476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*限用物质的限量要求</w:t>
            </w:r>
          </w:p>
        </w:tc>
        <w:tc>
          <w:tcPr>
            <w:tcW w:w="1343" w:type="dxa"/>
            <w:shd w:val="clear" w:color="auto" w:fill="auto"/>
            <w:vAlign w:val="center"/>
          </w:tcPr>
          <w:p w14:paraId="343638A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*限用物质的限量要求</w:t>
            </w:r>
          </w:p>
        </w:tc>
        <w:tc>
          <w:tcPr>
            <w:tcW w:w="3548" w:type="dxa"/>
            <w:shd w:val="clear" w:color="auto" w:fill="auto"/>
            <w:vAlign w:val="center"/>
          </w:tcPr>
          <w:p w14:paraId="7C857402">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限用物质的限量应符合GB/T 26572的要求</w:t>
            </w:r>
          </w:p>
        </w:tc>
        <w:tc>
          <w:tcPr>
            <w:tcW w:w="1293" w:type="dxa"/>
            <w:shd w:val="clear" w:color="auto" w:fill="auto"/>
            <w:vAlign w:val="center"/>
          </w:tcPr>
          <w:p w14:paraId="662DCA9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16B1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E3A2ECD">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0AB95D1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102 </w:t>
            </w:r>
          </w:p>
        </w:tc>
        <w:tc>
          <w:tcPr>
            <w:tcW w:w="1379" w:type="dxa"/>
            <w:shd w:val="clear" w:color="auto" w:fill="auto"/>
            <w:vAlign w:val="center"/>
          </w:tcPr>
          <w:p w14:paraId="5955CC2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性能要求</w:t>
            </w:r>
          </w:p>
        </w:tc>
        <w:tc>
          <w:tcPr>
            <w:tcW w:w="832" w:type="dxa"/>
            <w:shd w:val="clear" w:color="auto" w:fill="auto"/>
            <w:vAlign w:val="center"/>
          </w:tcPr>
          <w:p w14:paraId="72675DF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*CPU性能</w:t>
            </w:r>
          </w:p>
        </w:tc>
        <w:tc>
          <w:tcPr>
            <w:tcW w:w="1343" w:type="dxa"/>
            <w:shd w:val="clear" w:color="auto" w:fill="auto"/>
            <w:vAlign w:val="center"/>
          </w:tcPr>
          <w:p w14:paraId="1B81C18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*CPU 主频</w:t>
            </w:r>
          </w:p>
        </w:tc>
        <w:tc>
          <w:tcPr>
            <w:tcW w:w="3548" w:type="dxa"/>
            <w:shd w:val="clear" w:color="auto" w:fill="auto"/>
            <w:vAlign w:val="center"/>
          </w:tcPr>
          <w:p w14:paraId="3A5EACB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≥2.4GHz</w:t>
            </w:r>
          </w:p>
        </w:tc>
        <w:tc>
          <w:tcPr>
            <w:tcW w:w="1293" w:type="dxa"/>
            <w:shd w:val="clear" w:color="auto" w:fill="auto"/>
            <w:vAlign w:val="center"/>
          </w:tcPr>
          <w:p w14:paraId="42B1329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2BC7D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0A93555">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86A029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103 </w:t>
            </w:r>
          </w:p>
        </w:tc>
        <w:tc>
          <w:tcPr>
            <w:tcW w:w="1379" w:type="dxa"/>
            <w:shd w:val="clear" w:color="auto" w:fill="auto"/>
            <w:vAlign w:val="center"/>
          </w:tcPr>
          <w:p w14:paraId="717FD10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性能要求</w:t>
            </w:r>
          </w:p>
        </w:tc>
        <w:tc>
          <w:tcPr>
            <w:tcW w:w="832" w:type="dxa"/>
            <w:shd w:val="clear" w:color="auto" w:fill="auto"/>
            <w:vAlign w:val="center"/>
          </w:tcPr>
          <w:p w14:paraId="488174A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*CPU性能</w:t>
            </w:r>
          </w:p>
        </w:tc>
        <w:tc>
          <w:tcPr>
            <w:tcW w:w="1343" w:type="dxa"/>
            <w:shd w:val="clear" w:color="auto" w:fill="auto"/>
            <w:vAlign w:val="center"/>
          </w:tcPr>
          <w:p w14:paraId="40754DB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*单 CPU 核数</w:t>
            </w:r>
          </w:p>
        </w:tc>
        <w:tc>
          <w:tcPr>
            <w:tcW w:w="3548" w:type="dxa"/>
            <w:shd w:val="clear" w:color="auto" w:fill="auto"/>
            <w:vAlign w:val="center"/>
          </w:tcPr>
          <w:p w14:paraId="4B818F6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≥16</w:t>
            </w:r>
          </w:p>
        </w:tc>
        <w:tc>
          <w:tcPr>
            <w:tcW w:w="1293" w:type="dxa"/>
            <w:shd w:val="clear" w:color="auto" w:fill="auto"/>
            <w:vAlign w:val="center"/>
          </w:tcPr>
          <w:p w14:paraId="2943A1C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7FDD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BE3A8D8">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1953D7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104 </w:t>
            </w:r>
          </w:p>
        </w:tc>
        <w:tc>
          <w:tcPr>
            <w:tcW w:w="1379" w:type="dxa"/>
            <w:shd w:val="clear" w:color="auto" w:fill="auto"/>
            <w:vAlign w:val="center"/>
          </w:tcPr>
          <w:p w14:paraId="6707E0D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性能要求</w:t>
            </w:r>
          </w:p>
        </w:tc>
        <w:tc>
          <w:tcPr>
            <w:tcW w:w="832" w:type="dxa"/>
            <w:shd w:val="clear" w:color="auto" w:fill="auto"/>
            <w:vAlign w:val="center"/>
          </w:tcPr>
          <w:p w14:paraId="48A9AF0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*CPU性能</w:t>
            </w:r>
          </w:p>
        </w:tc>
        <w:tc>
          <w:tcPr>
            <w:tcW w:w="1343" w:type="dxa"/>
            <w:shd w:val="clear" w:color="auto" w:fill="auto"/>
            <w:vAlign w:val="center"/>
          </w:tcPr>
          <w:p w14:paraId="7E312090">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*单 CPU 末级缓存容量</w:t>
            </w:r>
          </w:p>
        </w:tc>
        <w:tc>
          <w:tcPr>
            <w:tcW w:w="3548" w:type="dxa"/>
            <w:shd w:val="clear" w:color="auto" w:fill="auto"/>
            <w:vAlign w:val="center"/>
          </w:tcPr>
          <w:p w14:paraId="10F0321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≥24MB</w:t>
            </w:r>
          </w:p>
        </w:tc>
        <w:tc>
          <w:tcPr>
            <w:tcW w:w="1293" w:type="dxa"/>
            <w:shd w:val="clear" w:color="auto" w:fill="auto"/>
            <w:vAlign w:val="center"/>
          </w:tcPr>
          <w:p w14:paraId="584F5AE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F0D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BCBB1A2">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56FC96F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105 </w:t>
            </w:r>
          </w:p>
        </w:tc>
        <w:tc>
          <w:tcPr>
            <w:tcW w:w="1379" w:type="dxa"/>
            <w:shd w:val="clear" w:color="auto" w:fill="auto"/>
            <w:vAlign w:val="center"/>
          </w:tcPr>
          <w:p w14:paraId="7307917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性能要求</w:t>
            </w:r>
          </w:p>
        </w:tc>
        <w:tc>
          <w:tcPr>
            <w:tcW w:w="832" w:type="dxa"/>
            <w:shd w:val="clear" w:color="auto" w:fill="auto"/>
            <w:vAlign w:val="center"/>
          </w:tcPr>
          <w:p w14:paraId="3F719A7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*内存性能</w:t>
            </w:r>
          </w:p>
        </w:tc>
        <w:tc>
          <w:tcPr>
            <w:tcW w:w="1343" w:type="dxa"/>
            <w:shd w:val="clear" w:color="auto" w:fill="auto"/>
            <w:vAlign w:val="center"/>
          </w:tcPr>
          <w:p w14:paraId="6C7630B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单内存模块容量</w:t>
            </w:r>
          </w:p>
        </w:tc>
        <w:tc>
          <w:tcPr>
            <w:tcW w:w="3548" w:type="dxa"/>
            <w:shd w:val="clear" w:color="auto" w:fill="auto"/>
            <w:vAlign w:val="center"/>
          </w:tcPr>
          <w:p w14:paraId="1699B53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≥32GB</w:t>
            </w:r>
          </w:p>
        </w:tc>
        <w:tc>
          <w:tcPr>
            <w:tcW w:w="1293" w:type="dxa"/>
            <w:shd w:val="clear" w:color="auto" w:fill="auto"/>
            <w:vAlign w:val="center"/>
          </w:tcPr>
          <w:p w14:paraId="7AEC13A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E2B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2DED863">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583626C2">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106 </w:t>
            </w:r>
          </w:p>
        </w:tc>
        <w:tc>
          <w:tcPr>
            <w:tcW w:w="1379" w:type="dxa"/>
            <w:shd w:val="clear" w:color="auto" w:fill="auto"/>
            <w:vAlign w:val="center"/>
          </w:tcPr>
          <w:p w14:paraId="4CE1F54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性能要求</w:t>
            </w:r>
          </w:p>
        </w:tc>
        <w:tc>
          <w:tcPr>
            <w:tcW w:w="832" w:type="dxa"/>
            <w:shd w:val="clear" w:color="auto" w:fill="auto"/>
            <w:vAlign w:val="center"/>
          </w:tcPr>
          <w:p w14:paraId="76A6EC4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*内存性能</w:t>
            </w:r>
          </w:p>
        </w:tc>
        <w:tc>
          <w:tcPr>
            <w:tcW w:w="1343" w:type="dxa"/>
            <w:shd w:val="clear" w:color="auto" w:fill="auto"/>
            <w:vAlign w:val="center"/>
          </w:tcPr>
          <w:p w14:paraId="1D3CB52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*内存速率</w:t>
            </w:r>
          </w:p>
        </w:tc>
        <w:tc>
          <w:tcPr>
            <w:tcW w:w="3548" w:type="dxa"/>
            <w:shd w:val="clear" w:color="auto" w:fill="auto"/>
            <w:vAlign w:val="center"/>
          </w:tcPr>
          <w:p w14:paraId="131145E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≥3200MT/s</w:t>
            </w:r>
          </w:p>
        </w:tc>
        <w:tc>
          <w:tcPr>
            <w:tcW w:w="1293" w:type="dxa"/>
            <w:shd w:val="clear" w:color="auto" w:fill="auto"/>
            <w:vAlign w:val="center"/>
          </w:tcPr>
          <w:p w14:paraId="35AA556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042D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CA36971">
            <w:pPr>
              <w:jc w:val="center"/>
              <w:rPr>
                <w:rFonts w:ascii="宋体" w:hAnsi="宋体" w:eastAsia="宋体" w:cs="仿宋"/>
                <w:sz w:val="20"/>
                <w:szCs w:val="20"/>
              </w:rPr>
            </w:pPr>
          </w:p>
        </w:tc>
        <w:tc>
          <w:tcPr>
            <w:tcW w:w="628" w:type="dxa"/>
            <w:shd w:val="clear" w:color="auto" w:fill="auto"/>
            <w:vAlign w:val="center"/>
          </w:tcPr>
          <w:p w14:paraId="3E2E498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107 </w:t>
            </w:r>
          </w:p>
        </w:tc>
        <w:tc>
          <w:tcPr>
            <w:tcW w:w="1379" w:type="dxa"/>
            <w:shd w:val="clear" w:color="auto" w:fill="auto"/>
            <w:vAlign w:val="center"/>
          </w:tcPr>
          <w:p w14:paraId="2AF57DD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性能要求</w:t>
            </w:r>
          </w:p>
        </w:tc>
        <w:tc>
          <w:tcPr>
            <w:tcW w:w="832" w:type="dxa"/>
            <w:shd w:val="clear" w:color="auto" w:fill="auto"/>
            <w:vAlign w:val="center"/>
          </w:tcPr>
          <w:p w14:paraId="1421233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存储性能</w:t>
            </w:r>
          </w:p>
        </w:tc>
        <w:tc>
          <w:tcPr>
            <w:tcW w:w="1343" w:type="dxa"/>
            <w:shd w:val="clear" w:color="auto" w:fill="auto"/>
            <w:vAlign w:val="center"/>
          </w:tcPr>
          <w:p w14:paraId="6AB4A27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硬盘转速</w:t>
            </w:r>
          </w:p>
        </w:tc>
        <w:tc>
          <w:tcPr>
            <w:tcW w:w="3548" w:type="dxa"/>
            <w:shd w:val="clear" w:color="auto" w:fill="auto"/>
            <w:vAlign w:val="center"/>
          </w:tcPr>
          <w:p w14:paraId="544417D7">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75901351">
            <w:pPr>
              <w:keepNext w:val="0"/>
              <w:keepLines w:val="0"/>
              <w:widowControl/>
              <w:suppressLineNumbers w:val="0"/>
              <w:jc w:val="center"/>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r>
      <w:tr w14:paraId="7E6F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9D04D29">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1D1418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108 </w:t>
            </w:r>
          </w:p>
        </w:tc>
        <w:tc>
          <w:tcPr>
            <w:tcW w:w="1379" w:type="dxa"/>
            <w:shd w:val="clear" w:color="auto" w:fill="auto"/>
            <w:vAlign w:val="center"/>
          </w:tcPr>
          <w:p w14:paraId="6895019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性能要求</w:t>
            </w:r>
          </w:p>
        </w:tc>
        <w:tc>
          <w:tcPr>
            <w:tcW w:w="832" w:type="dxa"/>
            <w:shd w:val="clear" w:color="auto" w:fill="auto"/>
            <w:vAlign w:val="center"/>
          </w:tcPr>
          <w:p w14:paraId="34F08DC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RAID卡性能</w:t>
            </w:r>
          </w:p>
        </w:tc>
        <w:tc>
          <w:tcPr>
            <w:tcW w:w="1343" w:type="dxa"/>
            <w:shd w:val="clear" w:color="auto" w:fill="auto"/>
            <w:vAlign w:val="center"/>
          </w:tcPr>
          <w:p w14:paraId="5791A92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RAID 卡缓存容量大小</w:t>
            </w:r>
          </w:p>
        </w:tc>
        <w:tc>
          <w:tcPr>
            <w:tcW w:w="3548" w:type="dxa"/>
            <w:shd w:val="clear" w:color="auto" w:fill="auto"/>
            <w:vAlign w:val="center"/>
          </w:tcPr>
          <w:p w14:paraId="5D4BD76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配备 RAID 卡且 RAID 卡有缓存容量，容量不少于 4GB</w:t>
            </w:r>
          </w:p>
        </w:tc>
        <w:tc>
          <w:tcPr>
            <w:tcW w:w="1293" w:type="dxa"/>
            <w:shd w:val="clear" w:color="auto" w:fill="auto"/>
            <w:vAlign w:val="center"/>
          </w:tcPr>
          <w:p w14:paraId="0167238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FB9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0B6D71C">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A1233A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109 </w:t>
            </w:r>
          </w:p>
        </w:tc>
        <w:tc>
          <w:tcPr>
            <w:tcW w:w="1379" w:type="dxa"/>
            <w:shd w:val="clear" w:color="auto" w:fill="auto"/>
            <w:vAlign w:val="center"/>
          </w:tcPr>
          <w:p w14:paraId="08D0651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性能要求</w:t>
            </w:r>
          </w:p>
        </w:tc>
        <w:tc>
          <w:tcPr>
            <w:tcW w:w="832" w:type="dxa"/>
            <w:shd w:val="clear" w:color="auto" w:fill="auto"/>
            <w:vAlign w:val="top"/>
          </w:tcPr>
          <w:p w14:paraId="556FB3D2">
            <w:pPr>
              <w:keepNext w:val="0"/>
              <w:keepLines w:val="0"/>
              <w:widowControl/>
              <w:suppressLineNumbers w:val="0"/>
              <w:jc w:val="center"/>
              <w:textAlignment w:val="top"/>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FC HBA卡性能</w:t>
            </w:r>
          </w:p>
        </w:tc>
        <w:tc>
          <w:tcPr>
            <w:tcW w:w="1343" w:type="dxa"/>
            <w:shd w:val="clear" w:color="auto" w:fill="auto"/>
            <w:vAlign w:val="center"/>
          </w:tcPr>
          <w:p w14:paraId="5F34206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FC HBA 卡速率</w:t>
            </w:r>
          </w:p>
        </w:tc>
        <w:tc>
          <w:tcPr>
            <w:tcW w:w="3548" w:type="dxa"/>
            <w:shd w:val="clear" w:color="auto" w:fill="auto"/>
            <w:vAlign w:val="center"/>
          </w:tcPr>
          <w:p w14:paraId="1440C7C3">
            <w:pPr>
              <w:keepNext w:val="0"/>
              <w:keepLines w:val="0"/>
              <w:widowControl/>
              <w:suppressLineNumbers w:val="0"/>
              <w:jc w:val="left"/>
              <w:textAlignment w:val="center"/>
              <w:rPr>
                <w:rFonts w:ascii="宋体" w:hAnsi="宋体" w:eastAsia="宋体" w:cs="仿宋"/>
                <w:sz w:val="20"/>
                <w:szCs w:val="20"/>
                <w:highlight w:val="yellow"/>
              </w:rPr>
            </w:pPr>
            <w:r>
              <w:rPr>
                <w:rFonts w:hint="eastAsia" w:ascii="黑体" w:hAnsi="宋体" w:eastAsia="黑体" w:cs="黑体"/>
                <w:i w:val="0"/>
                <w:iCs w:val="0"/>
                <w:color w:val="000000"/>
                <w:kern w:val="0"/>
                <w:sz w:val="16"/>
                <w:szCs w:val="16"/>
                <w:u w:val="none"/>
                <w:lang w:val="en-US" w:eastAsia="zh-CN" w:bidi="ar"/>
              </w:rPr>
              <w:t>配备 FC HBA 卡，单端口最大的连接速率不少于32Gb/s</w:t>
            </w:r>
          </w:p>
        </w:tc>
        <w:tc>
          <w:tcPr>
            <w:tcW w:w="1293" w:type="dxa"/>
            <w:shd w:val="clear" w:color="auto" w:fill="auto"/>
            <w:vAlign w:val="center"/>
          </w:tcPr>
          <w:p w14:paraId="2C2CF29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0696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4DCECB3">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D15537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110 </w:t>
            </w:r>
          </w:p>
        </w:tc>
        <w:tc>
          <w:tcPr>
            <w:tcW w:w="1379" w:type="dxa"/>
            <w:shd w:val="clear" w:color="auto" w:fill="auto"/>
            <w:vAlign w:val="center"/>
          </w:tcPr>
          <w:p w14:paraId="136684E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性能要求</w:t>
            </w:r>
          </w:p>
        </w:tc>
        <w:tc>
          <w:tcPr>
            <w:tcW w:w="832" w:type="dxa"/>
            <w:shd w:val="clear" w:color="auto" w:fill="auto"/>
            <w:vAlign w:val="center"/>
          </w:tcPr>
          <w:p w14:paraId="5E6C7BA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网络性能</w:t>
            </w:r>
          </w:p>
        </w:tc>
        <w:tc>
          <w:tcPr>
            <w:tcW w:w="1343" w:type="dxa"/>
            <w:shd w:val="clear" w:color="auto" w:fill="auto"/>
            <w:vAlign w:val="center"/>
          </w:tcPr>
          <w:p w14:paraId="5A23EDF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独立网卡速率</w:t>
            </w:r>
          </w:p>
        </w:tc>
        <w:tc>
          <w:tcPr>
            <w:tcW w:w="3548" w:type="dxa"/>
            <w:shd w:val="clear" w:color="auto" w:fill="auto"/>
            <w:vAlign w:val="center"/>
          </w:tcPr>
          <w:p w14:paraId="3D7F62A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≥25GE</w:t>
            </w:r>
          </w:p>
        </w:tc>
        <w:tc>
          <w:tcPr>
            <w:tcW w:w="1293" w:type="dxa"/>
            <w:shd w:val="clear" w:color="auto" w:fill="auto"/>
            <w:vAlign w:val="center"/>
          </w:tcPr>
          <w:p w14:paraId="3F87B6A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A3C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9733720">
            <w:pPr>
              <w:jc w:val="center"/>
              <w:rPr>
                <w:rFonts w:ascii="宋体" w:hAnsi="宋体" w:eastAsia="宋体" w:cs="仿宋"/>
                <w:sz w:val="20"/>
                <w:szCs w:val="20"/>
              </w:rPr>
            </w:pPr>
          </w:p>
        </w:tc>
        <w:tc>
          <w:tcPr>
            <w:tcW w:w="628" w:type="dxa"/>
            <w:shd w:val="clear" w:color="auto" w:fill="auto"/>
            <w:vAlign w:val="center"/>
          </w:tcPr>
          <w:p w14:paraId="44578D5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111 </w:t>
            </w:r>
          </w:p>
        </w:tc>
        <w:tc>
          <w:tcPr>
            <w:tcW w:w="1379" w:type="dxa"/>
            <w:shd w:val="clear" w:color="auto" w:fill="auto"/>
            <w:vAlign w:val="center"/>
          </w:tcPr>
          <w:p w14:paraId="068F0D5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性能要求</w:t>
            </w:r>
          </w:p>
        </w:tc>
        <w:tc>
          <w:tcPr>
            <w:tcW w:w="832" w:type="dxa"/>
            <w:shd w:val="clear" w:color="auto" w:fill="auto"/>
            <w:vAlign w:val="center"/>
          </w:tcPr>
          <w:p w14:paraId="6CAB707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网络性能</w:t>
            </w:r>
          </w:p>
        </w:tc>
        <w:tc>
          <w:tcPr>
            <w:tcW w:w="1343" w:type="dxa"/>
            <w:shd w:val="clear" w:color="auto" w:fill="auto"/>
            <w:vAlign w:val="center"/>
          </w:tcPr>
          <w:p w14:paraId="746AF53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板载网卡速率</w:t>
            </w:r>
          </w:p>
        </w:tc>
        <w:tc>
          <w:tcPr>
            <w:tcW w:w="3548" w:type="dxa"/>
            <w:shd w:val="clear" w:color="auto" w:fill="auto"/>
            <w:vAlign w:val="center"/>
          </w:tcPr>
          <w:p w14:paraId="11E0DAAB">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7F06D0C0">
            <w:pPr>
              <w:keepNext w:val="0"/>
              <w:keepLines w:val="0"/>
              <w:widowControl/>
              <w:suppressLineNumbers w:val="0"/>
              <w:jc w:val="center"/>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r>
      <w:tr w14:paraId="78540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D66D351">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24DBFE7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112 </w:t>
            </w:r>
          </w:p>
        </w:tc>
        <w:tc>
          <w:tcPr>
            <w:tcW w:w="1379" w:type="dxa"/>
            <w:shd w:val="clear" w:color="auto" w:fill="auto"/>
            <w:vAlign w:val="center"/>
          </w:tcPr>
          <w:p w14:paraId="7A8A67B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性能要求</w:t>
            </w:r>
          </w:p>
        </w:tc>
        <w:tc>
          <w:tcPr>
            <w:tcW w:w="832" w:type="dxa"/>
            <w:shd w:val="clear" w:color="auto" w:fill="auto"/>
            <w:vAlign w:val="center"/>
          </w:tcPr>
          <w:p w14:paraId="75A6AF7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*电源能耗</w:t>
            </w:r>
          </w:p>
        </w:tc>
        <w:tc>
          <w:tcPr>
            <w:tcW w:w="1343" w:type="dxa"/>
            <w:shd w:val="clear" w:color="auto" w:fill="auto"/>
            <w:vAlign w:val="center"/>
          </w:tcPr>
          <w:p w14:paraId="0039F5B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*电源能耗</w:t>
            </w:r>
          </w:p>
        </w:tc>
        <w:tc>
          <w:tcPr>
            <w:tcW w:w="3548" w:type="dxa"/>
            <w:shd w:val="clear" w:color="auto" w:fill="auto"/>
            <w:vAlign w:val="center"/>
          </w:tcPr>
          <w:p w14:paraId="5A9EBA95">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符合 GB/T 9813.3 的有关规定</w:t>
            </w:r>
          </w:p>
        </w:tc>
        <w:tc>
          <w:tcPr>
            <w:tcW w:w="1293" w:type="dxa"/>
            <w:shd w:val="clear" w:color="auto" w:fill="auto"/>
            <w:vAlign w:val="center"/>
          </w:tcPr>
          <w:p w14:paraId="7F151A6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3052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1FDA0EA">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EA0B58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113 </w:t>
            </w:r>
          </w:p>
        </w:tc>
        <w:tc>
          <w:tcPr>
            <w:tcW w:w="1379" w:type="dxa"/>
            <w:shd w:val="clear" w:color="auto" w:fill="auto"/>
            <w:vAlign w:val="center"/>
          </w:tcPr>
          <w:p w14:paraId="7509C31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兼容要求</w:t>
            </w:r>
          </w:p>
        </w:tc>
        <w:tc>
          <w:tcPr>
            <w:tcW w:w="832" w:type="dxa"/>
            <w:shd w:val="clear" w:color="auto" w:fill="auto"/>
            <w:vAlign w:val="center"/>
          </w:tcPr>
          <w:p w14:paraId="74817AF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*部件兼容性要求</w:t>
            </w:r>
          </w:p>
        </w:tc>
        <w:tc>
          <w:tcPr>
            <w:tcW w:w="1343" w:type="dxa"/>
            <w:shd w:val="clear" w:color="auto" w:fill="auto"/>
            <w:vAlign w:val="center"/>
          </w:tcPr>
          <w:p w14:paraId="2A77F38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*内存兼容性</w:t>
            </w:r>
          </w:p>
        </w:tc>
        <w:tc>
          <w:tcPr>
            <w:tcW w:w="3548" w:type="dxa"/>
            <w:shd w:val="clear" w:color="auto" w:fill="auto"/>
            <w:vAlign w:val="center"/>
          </w:tcPr>
          <w:p w14:paraId="095379D9">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适配 3 种及以上厂商的内存产品，且均不低于产品支持的内存规格</w:t>
            </w:r>
          </w:p>
        </w:tc>
        <w:tc>
          <w:tcPr>
            <w:tcW w:w="1293" w:type="dxa"/>
            <w:shd w:val="clear" w:color="auto" w:fill="auto"/>
            <w:vAlign w:val="center"/>
          </w:tcPr>
          <w:p w14:paraId="1818B5B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40C69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52E7C63">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4053AAB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114 </w:t>
            </w:r>
          </w:p>
        </w:tc>
        <w:tc>
          <w:tcPr>
            <w:tcW w:w="1379" w:type="dxa"/>
            <w:shd w:val="clear" w:color="auto" w:fill="auto"/>
            <w:vAlign w:val="center"/>
          </w:tcPr>
          <w:p w14:paraId="53AB1DE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兼容要求</w:t>
            </w:r>
          </w:p>
        </w:tc>
        <w:tc>
          <w:tcPr>
            <w:tcW w:w="832" w:type="dxa"/>
            <w:shd w:val="clear" w:color="auto" w:fill="auto"/>
            <w:vAlign w:val="center"/>
          </w:tcPr>
          <w:p w14:paraId="73EE54B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*部件兼容性要求</w:t>
            </w:r>
          </w:p>
        </w:tc>
        <w:tc>
          <w:tcPr>
            <w:tcW w:w="1343" w:type="dxa"/>
            <w:shd w:val="clear" w:color="auto" w:fill="auto"/>
            <w:vAlign w:val="center"/>
          </w:tcPr>
          <w:p w14:paraId="4D79A84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*固态存储兼容性</w:t>
            </w:r>
          </w:p>
        </w:tc>
        <w:tc>
          <w:tcPr>
            <w:tcW w:w="3548" w:type="dxa"/>
            <w:shd w:val="clear" w:color="auto" w:fill="auto"/>
            <w:vAlign w:val="center"/>
          </w:tcPr>
          <w:p w14:paraId="3CEDB0DF">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适配 3 种或以上厂商的固态存储产品，且均不低于产品支持的固态存储设备规格</w:t>
            </w:r>
          </w:p>
        </w:tc>
        <w:tc>
          <w:tcPr>
            <w:tcW w:w="1293" w:type="dxa"/>
            <w:shd w:val="clear" w:color="auto" w:fill="auto"/>
            <w:vAlign w:val="center"/>
          </w:tcPr>
          <w:p w14:paraId="083F066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20BC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69AA110">
            <w:pPr>
              <w:jc w:val="center"/>
              <w:rPr>
                <w:rFonts w:ascii="宋体" w:hAnsi="宋体" w:eastAsia="宋体" w:cs="仿宋"/>
                <w:sz w:val="20"/>
                <w:szCs w:val="20"/>
              </w:rPr>
            </w:pPr>
          </w:p>
        </w:tc>
        <w:tc>
          <w:tcPr>
            <w:tcW w:w="628" w:type="dxa"/>
            <w:shd w:val="clear" w:color="auto" w:fill="auto"/>
            <w:vAlign w:val="center"/>
          </w:tcPr>
          <w:p w14:paraId="4D53B76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115 </w:t>
            </w:r>
          </w:p>
        </w:tc>
        <w:tc>
          <w:tcPr>
            <w:tcW w:w="1379" w:type="dxa"/>
            <w:shd w:val="clear" w:color="auto" w:fill="auto"/>
            <w:vAlign w:val="center"/>
          </w:tcPr>
          <w:p w14:paraId="1016A62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兼容要求</w:t>
            </w:r>
          </w:p>
        </w:tc>
        <w:tc>
          <w:tcPr>
            <w:tcW w:w="832" w:type="dxa"/>
            <w:shd w:val="clear" w:color="auto" w:fill="auto"/>
            <w:vAlign w:val="center"/>
          </w:tcPr>
          <w:p w14:paraId="03BDDE3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*部件兼容性要求</w:t>
            </w:r>
          </w:p>
        </w:tc>
        <w:tc>
          <w:tcPr>
            <w:tcW w:w="1343" w:type="dxa"/>
            <w:shd w:val="clear" w:color="auto" w:fill="auto"/>
            <w:vAlign w:val="center"/>
          </w:tcPr>
          <w:p w14:paraId="5E09499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FC HBA 卡兼容性</w:t>
            </w:r>
          </w:p>
        </w:tc>
        <w:tc>
          <w:tcPr>
            <w:tcW w:w="3548" w:type="dxa"/>
            <w:shd w:val="clear" w:color="auto" w:fill="auto"/>
            <w:vAlign w:val="center"/>
          </w:tcPr>
          <w:p w14:paraId="68FF2E39">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6E521ED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016B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4EF4400">
            <w:pPr>
              <w:jc w:val="center"/>
              <w:rPr>
                <w:rFonts w:ascii="宋体" w:hAnsi="宋体" w:eastAsia="宋体" w:cs="仿宋"/>
                <w:sz w:val="20"/>
                <w:szCs w:val="20"/>
              </w:rPr>
            </w:pPr>
          </w:p>
        </w:tc>
        <w:tc>
          <w:tcPr>
            <w:tcW w:w="628" w:type="dxa"/>
            <w:shd w:val="clear" w:color="auto" w:fill="auto"/>
            <w:vAlign w:val="center"/>
          </w:tcPr>
          <w:p w14:paraId="46AFFA0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116 </w:t>
            </w:r>
          </w:p>
        </w:tc>
        <w:tc>
          <w:tcPr>
            <w:tcW w:w="1379" w:type="dxa"/>
            <w:shd w:val="clear" w:color="auto" w:fill="auto"/>
            <w:vAlign w:val="center"/>
          </w:tcPr>
          <w:p w14:paraId="6925284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兼容要求</w:t>
            </w:r>
          </w:p>
        </w:tc>
        <w:tc>
          <w:tcPr>
            <w:tcW w:w="832" w:type="dxa"/>
            <w:shd w:val="clear" w:color="auto" w:fill="auto"/>
            <w:vAlign w:val="center"/>
          </w:tcPr>
          <w:p w14:paraId="320258B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*部件兼容性要求</w:t>
            </w:r>
          </w:p>
        </w:tc>
        <w:tc>
          <w:tcPr>
            <w:tcW w:w="1343" w:type="dxa"/>
            <w:shd w:val="clear" w:color="auto" w:fill="auto"/>
            <w:vAlign w:val="center"/>
          </w:tcPr>
          <w:p w14:paraId="3C4E299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RAID 卡兼容性</w:t>
            </w:r>
          </w:p>
        </w:tc>
        <w:tc>
          <w:tcPr>
            <w:tcW w:w="3548" w:type="dxa"/>
            <w:shd w:val="clear" w:color="auto" w:fill="auto"/>
            <w:vAlign w:val="center"/>
          </w:tcPr>
          <w:p w14:paraId="556DA973">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52D41F8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3D9D1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B12EFFF">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48C84FF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117 </w:t>
            </w:r>
          </w:p>
        </w:tc>
        <w:tc>
          <w:tcPr>
            <w:tcW w:w="1379" w:type="dxa"/>
            <w:shd w:val="clear" w:color="auto" w:fill="auto"/>
            <w:vAlign w:val="center"/>
          </w:tcPr>
          <w:p w14:paraId="2C34053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兼容要求</w:t>
            </w:r>
          </w:p>
        </w:tc>
        <w:tc>
          <w:tcPr>
            <w:tcW w:w="832" w:type="dxa"/>
            <w:shd w:val="clear" w:color="auto" w:fill="auto"/>
            <w:vAlign w:val="center"/>
          </w:tcPr>
          <w:p w14:paraId="59A6DF2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*部件兼容性要求</w:t>
            </w:r>
          </w:p>
        </w:tc>
        <w:tc>
          <w:tcPr>
            <w:tcW w:w="1343" w:type="dxa"/>
            <w:shd w:val="clear" w:color="auto" w:fill="auto"/>
            <w:vAlign w:val="center"/>
          </w:tcPr>
          <w:p w14:paraId="44E5C81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*网卡兼容性</w:t>
            </w:r>
          </w:p>
        </w:tc>
        <w:tc>
          <w:tcPr>
            <w:tcW w:w="3548" w:type="dxa"/>
            <w:shd w:val="clear" w:color="auto" w:fill="auto"/>
            <w:vAlign w:val="center"/>
          </w:tcPr>
          <w:p w14:paraId="4C0BC851">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网卡应适配两种或以上厂商产品</w:t>
            </w:r>
          </w:p>
        </w:tc>
        <w:tc>
          <w:tcPr>
            <w:tcW w:w="1293" w:type="dxa"/>
            <w:shd w:val="clear" w:color="auto" w:fill="auto"/>
            <w:vAlign w:val="center"/>
          </w:tcPr>
          <w:p w14:paraId="792E545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015C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7EECCE8">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9021F1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118 </w:t>
            </w:r>
          </w:p>
        </w:tc>
        <w:tc>
          <w:tcPr>
            <w:tcW w:w="1379" w:type="dxa"/>
            <w:shd w:val="clear" w:color="auto" w:fill="auto"/>
            <w:vAlign w:val="center"/>
          </w:tcPr>
          <w:p w14:paraId="1C24648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兼容要求</w:t>
            </w:r>
          </w:p>
        </w:tc>
        <w:tc>
          <w:tcPr>
            <w:tcW w:w="832" w:type="dxa"/>
            <w:shd w:val="clear" w:color="auto" w:fill="auto"/>
            <w:vAlign w:val="center"/>
          </w:tcPr>
          <w:p w14:paraId="28BFFA9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*部件兼容性要求</w:t>
            </w:r>
          </w:p>
        </w:tc>
        <w:tc>
          <w:tcPr>
            <w:tcW w:w="1343" w:type="dxa"/>
            <w:shd w:val="clear" w:color="auto" w:fill="auto"/>
            <w:vAlign w:val="center"/>
          </w:tcPr>
          <w:p w14:paraId="147DBAC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*功能卡兼容性</w:t>
            </w:r>
          </w:p>
        </w:tc>
        <w:tc>
          <w:tcPr>
            <w:tcW w:w="3548" w:type="dxa"/>
            <w:shd w:val="clear" w:color="auto" w:fill="auto"/>
            <w:vAlign w:val="center"/>
          </w:tcPr>
          <w:p w14:paraId="061718BF">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内置或适配符合 PCIe 的功能卡，如：网络功能卡、存储功能卡及图形显示功能卡</w:t>
            </w:r>
          </w:p>
        </w:tc>
        <w:tc>
          <w:tcPr>
            <w:tcW w:w="1293" w:type="dxa"/>
            <w:shd w:val="clear" w:color="auto" w:fill="auto"/>
            <w:vAlign w:val="center"/>
          </w:tcPr>
          <w:p w14:paraId="2E8442A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49F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BD11322">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4BC65AD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119 </w:t>
            </w:r>
          </w:p>
        </w:tc>
        <w:tc>
          <w:tcPr>
            <w:tcW w:w="1379" w:type="dxa"/>
            <w:shd w:val="clear" w:color="auto" w:fill="auto"/>
            <w:vAlign w:val="center"/>
          </w:tcPr>
          <w:p w14:paraId="2F42384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兼容要求</w:t>
            </w:r>
          </w:p>
        </w:tc>
        <w:tc>
          <w:tcPr>
            <w:tcW w:w="832" w:type="dxa"/>
            <w:shd w:val="clear" w:color="auto" w:fill="auto"/>
            <w:vAlign w:val="center"/>
          </w:tcPr>
          <w:p w14:paraId="6113AEE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*外设兼容性</w:t>
            </w:r>
          </w:p>
        </w:tc>
        <w:tc>
          <w:tcPr>
            <w:tcW w:w="1343" w:type="dxa"/>
            <w:shd w:val="clear" w:color="auto" w:fill="auto"/>
            <w:vAlign w:val="center"/>
          </w:tcPr>
          <w:p w14:paraId="6411FF0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*外设兼容性</w:t>
            </w:r>
          </w:p>
        </w:tc>
        <w:tc>
          <w:tcPr>
            <w:tcW w:w="3548" w:type="dxa"/>
            <w:shd w:val="clear" w:color="auto" w:fill="auto"/>
            <w:vAlign w:val="center"/>
          </w:tcPr>
          <w:p w14:paraId="5E74EA11">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兼容多种主流生产商的外部设备，包括显示器、键盘、鼠标、闪存盘、移动硬盘、USB 光驱及 KVM 等，要求使用不同厂商的外部设备时，系统均能正常识别和安装驱动</w:t>
            </w:r>
          </w:p>
        </w:tc>
        <w:tc>
          <w:tcPr>
            <w:tcW w:w="1293" w:type="dxa"/>
            <w:shd w:val="clear" w:color="auto" w:fill="auto"/>
            <w:vAlign w:val="center"/>
          </w:tcPr>
          <w:p w14:paraId="37439C4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4628B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EBADA6E">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2A1AAEB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120 </w:t>
            </w:r>
          </w:p>
        </w:tc>
        <w:tc>
          <w:tcPr>
            <w:tcW w:w="1379" w:type="dxa"/>
            <w:shd w:val="clear" w:color="auto" w:fill="auto"/>
            <w:vAlign w:val="center"/>
          </w:tcPr>
          <w:p w14:paraId="5395E23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兼容要求</w:t>
            </w:r>
          </w:p>
        </w:tc>
        <w:tc>
          <w:tcPr>
            <w:tcW w:w="832" w:type="dxa"/>
            <w:shd w:val="clear" w:color="auto" w:fill="auto"/>
            <w:vAlign w:val="center"/>
          </w:tcPr>
          <w:p w14:paraId="1F37ADD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*软件兼容性</w:t>
            </w:r>
          </w:p>
        </w:tc>
        <w:tc>
          <w:tcPr>
            <w:tcW w:w="1343" w:type="dxa"/>
            <w:shd w:val="clear" w:color="auto" w:fill="auto"/>
            <w:vAlign w:val="center"/>
          </w:tcPr>
          <w:p w14:paraId="13EC69C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*数据库兼容</w:t>
            </w:r>
          </w:p>
        </w:tc>
        <w:tc>
          <w:tcPr>
            <w:tcW w:w="3548" w:type="dxa"/>
            <w:shd w:val="clear" w:color="auto" w:fill="auto"/>
            <w:vAlign w:val="center"/>
          </w:tcPr>
          <w:p w14:paraId="7C4BFA22">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兼容 3 个及以上厂商的数据库产品</w:t>
            </w:r>
          </w:p>
        </w:tc>
        <w:tc>
          <w:tcPr>
            <w:tcW w:w="1293" w:type="dxa"/>
            <w:shd w:val="clear" w:color="auto" w:fill="auto"/>
            <w:vAlign w:val="center"/>
          </w:tcPr>
          <w:p w14:paraId="088D1F8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3DCE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B544ACD">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2A1C207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121 </w:t>
            </w:r>
          </w:p>
        </w:tc>
        <w:tc>
          <w:tcPr>
            <w:tcW w:w="1379" w:type="dxa"/>
            <w:shd w:val="clear" w:color="auto" w:fill="auto"/>
            <w:vAlign w:val="center"/>
          </w:tcPr>
          <w:p w14:paraId="5538ACB0">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兼容要求</w:t>
            </w:r>
          </w:p>
        </w:tc>
        <w:tc>
          <w:tcPr>
            <w:tcW w:w="832" w:type="dxa"/>
            <w:shd w:val="clear" w:color="auto" w:fill="auto"/>
            <w:vAlign w:val="center"/>
          </w:tcPr>
          <w:p w14:paraId="14B869E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*软件兼容性</w:t>
            </w:r>
          </w:p>
        </w:tc>
        <w:tc>
          <w:tcPr>
            <w:tcW w:w="1343" w:type="dxa"/>
            <w:shd w:val="clear" w:color="auto" w:fill="auto"/>
            <w:vAlign w:val="center"/>
          </w:tcPr>
          <w:p w14:paraId="4927E96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*中间件兼容</w:t>
            </w:r>
          </w:p>
        </w:tc>
        <w:tc>
          <w:tcPr>
            <w:tcW w:w="3548" w:type="dxa"/>
            <w:shd w:val="clear" w:color="auto" w:fill="auto"/>
            <w:vAlign w:val="center"/>
          </w:tcPr>
          <w:p w14:paraId="63528F74">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兼容 3 个及以上厂商的中间件产品</w:t>
            </w:r>
          </w:p>
        </w:tc>
        <w:tc>
          <w:tcPr>
            <w:tcW w:w="1293" w:type="dxa"/>
            <w:shd w:val="clear" w:color="auto" w:fill="auto"/>
            <w:vAlign w:val="center"/>
          </w:tcPr>
          <w:p w14:paraId="7D81B2C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25B2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9C7A0B3">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2E272E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122 </w:t>
            </w:r>
          </w:p>
        </w:tc>
        <w:tc>
          <w:tcPr>
            <w:tcW w:w="1379" w:type="dxa"/>
            <w:shd w:val="clear" w:color="auto" w:fill="auto"/>
            <w:vAlign w:val="center"/>
          </w:tcPr>
          <w:p w14:paraId="68DFD6B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兼容要求</w:t>
            </w:r>
          </w:p>
        </w:tc>
        <w:tc>
          <w:tcPr>
            <w:tcW w:w="832" w:type="dxa"/>
            <w:shd w:val="clear" w:color="auto" w:fill="auto"/>
            <w:vAlign w:val="center"/>
          </w:tcPr>
          <w:p w14:paraId="72DD2F9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*软件兼容性</w:t>
            </w:r>
          </w:p>
        </w:tc>
        <w:tc>
          <w:tcPr>
            <w:tcW w:w="1343" w:type="dxa"/>
            <w:shd w:val="clear" w:color="auto" w:fill="auto"/>
            <w:vAlign w:val="center"/>
          </w:tcPr>
          <w:p w14:paraId="464B139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*平台软件兼容</w:t>
            </w:r>
          </w:p>
        </w:tc>
        <w:tc>
          <w:tcPr>
            <w:tcW w:w="3548" w:type="dxa"/>
            <w:shd w:val="clear" w:color="auto" w:fill="auto"/>
            <w:vAlign w:val="center"/>
          </w:tcPr>
          <w:p w14:paraId="5200C217">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兼容 3 个及以上厂商的大数据平台</w:t>
            </w:r>
          </w:p>
        </w:tc>
        <w:tc>
          <w:tcPr>
            <w:tcW w:w="1293" w:type="dxa"/>
            <w:shd w:val="clear" w:color="auto" w:fill="auto"/>
            <w:vAlign w:val="center"/>
          </w:tcPr>
          <w:p w14:paraId="48391C1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1BD3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1CDEE5F">
            <w:pPr>
              <w:jc w:val="center"/>
              <w:rPr>
                <w:rFonts w:ascii="宋体" w:hAnsi="宋体" w:eastAsia="宋体" w:cs="仿宋"/>
                <w:sz w:val="20"/>
                <w:szCs w:val="20"/>
              </w:rPr>
            </w:pPr>
          </w:p>
        </w:tc>
        <w:tc>
          <w:tcPr>
            <w:tcW w:w="628" w:type="dxa"/>
            <w:shd w:val="clear" w:color="auto" w:fill="auto"/>
            <w:vAlign w:val="center"/>
          </w:tcPr>
          <w:p w14:paraId="600254F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123 </w:t>
            </w:r>
          </w:p>
        </w:tc>
        <w:tc>
          <w:tcPr>
            <w:tcW w:w="1379" w:type="dxa"/>
            <w:shd w:val="clear" w:color="auto" w:fill="auto"/>
            <w:vAlign w:val="center"/>
          </w:tcPr>
          <w:p w14:paraId="509FCC2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兼容要求</w:t>
            </w:r>
          </w:p>
        </w:tc>
        <w:tc>
          <w:tcPr>
            <w:tcW w:w="832" w:type="dxa"/>
            <w:shd w:val="clear" w:color="auto" w:fill="auto"/>
            <w:vAlign w:val="center"/>
          </w:tcPr>
          <w:p w14:paraId="794A1A9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*软件兼容性</w:t>
            </w:r>
          </w:p>
        </w:tc>
        <w:tc>
          <w:tcPr>
            <w:tcW w:w="1343" w:type="dxa"/>
            <w:shd w:val="clear" w:color="auto" w:fill="auto"/>
            <w:vAlign w:val="center"/>
          </w:tcPr>
          <w:p w14:paraId="56208B3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虚拟化软件兼容</w:t>
            </w:r>
          </w:p>
        </w:tc>
        <w:tc>
          <w:tcPr>
            <w:tcW w:w="3548" w:type="dxa"/>
            <w:shd w:val="clear" w:color="auto" w:fill="auto"/>
            <w:vAlign w:val="center"/>
          </w:tcPr>
          <w:p w14:paraId="274B7EC9">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03126F2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569C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8359B1B">
            <w:pPr>
              <w:jc w:val="center"/>
              <w:rPr>
                <w:rFonts w:ascii="宋体" w:hAnsi="宋体" w:eastAsia="宋体" w:cs="仿宋"/>
                <w:sz w:val="20"/>
                <w:szCs w:val="20"/>
              </w:rPr>
            </w:pPr>
          </w:p>
        </w:tc>
        <w:tc>
          <w:tcPr>
            <w:tcW w:w="628" w:type="dxa"/>
            <w:shd w:val="clear" w:color="auto" w:fill="auto"/>
            <w:vAlign w:val="center"/>
          </w:tcPr>
          <w:p w14:paraId="1BABCAE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124 </w:t>
            </w:r>
          </w:p>
        </w:tc>
        <w:tc>
          <w:tcPr>
            <w:tcW w:w="1379" w:type="dxa"/>
            <w:shd w:val="clear" w:color="auto" w:fill="auto"/>
            <w:vAlign w:val="center"/>
          </w:tcPr>
          <w:p w14:paraId="4B18251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可靠性要求</w:t>
            </w:r>
          </w:p>
        </w:tc>
        <w:tc>
          <w:tcPr>
            <w:tcW w:w="832" w:type="dxa"/>
            <w:shd w:val="clear" w:color="auto" w:fill="auto"/>
            <w:vAlign w:val="center"/>
          </w:tcPr>
          <w:p w14:paraId="1F741A6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存储可靠性要求</w:t>
            </w:r>
          </w:p>
        </w:tc>
        <w:tc>
          <w:tcPr>
            <w:tcW w:w="1343" w:type="dxa"/>
            <w:shd w:val="clear" w:color="auto" w:fill="auto"/>
            <w:vAlign w:val="center"/>
          </w:tcPr>
          <w:p w14:paraId="1BEDE9B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SATA SSD可靠性</w:t>
            </w:r>
          </w:p>
        </w:tc>
        <w:tc>
          <w:tcPr>
            <w:tcW w:w="3548" w:type="dxa"/>
            <w:shd w:val="clear" w:color="auto" w:fill="auto"/>
            <w:vAlign w:val="center"/>
          </w:tcPr>
          <w:p w14:paraId="03D0E6F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431DDAE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22FB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EB2C341">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C48411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125 </w:t>
            </w:r>
          </w:p>
        </w:tc>
        <w:tc>
          <w:tcPr>
            <w:tcW w:w="1379" w:type="dxa"/>
            <w:shd w:val="clear" w:color="auto" w:fill="auto"/>
            <w:vAlign w:val="center"/>
          </w:tcPr>
          <w:p w14:paraId="6053802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可靠性要求</w:t>
            </w:r>
          </w:p>
        </w:tc>
        <w:tc>
          <w:tcPr>
            <w:tcW w:w="832" w:type="dxa"/>
            <w:shd w:val="clear" w:color="auto" w:fill="auto"/>
            <w:vAlign w:val="center"/>
          </w:tcPr>
          <w:p w14:paraId="24AC109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*整机可靠性要求</w:t>
            </w:r>
          </w:p>
        </w:tc>
        <w:tc>
          <w:tcPr>
            <w:tcW w:w="1343" w:type="dxa"/>
            <w:shd w:val="clear" w:color="auto" w:fill="auto"/>
            <w:vAlign w:val="center"/>
          </w:tcPr>
          <w:p w14:paraId="6D38050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*整机可靠性</w:t>
            </w:r>
          </w:p>
        </w:tc>
        <w:tc>
          <w:tcPr>
            <w:tcW w:w="3548" w:type="dxa"/>
            <w:shd w:val="clear" w:color="auto" w:fill="auto"/>
            <w:vAlign w:val="center"/>
          </w:tcPr>
          <w:p w14:paraId="583F925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m1 值（MTBF 的不可接受值）不得低于 30000h</w:t>
            </w:r>
          </w:p>
        </w:tc>
        <w:tc>
          <w:tcPr>
            <w:tcW w:w="1293" w:type="dxa"/>
            <w:shd w:val="clear" w:color="auto" w:fill="auto"/>
            <w:vAlign w:val="center"/>
          </w:tcPr>
          <w:p w14:paraId="12D6B92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87B3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8561A7A">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4443CF5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126 </w:t>
            </w:r>
          </w:p>
        </w:tc>
        <w:tc>
          <w:tcPr>
            <w:tcW w:w="1379" w:type="dxa"/>
            <w:shd w:val="clear" w:color="auto" w:fill="auto"/>
            <w:vAlign w:val="center"/>
          </w:tcPr>
          <w:p w14:paraId="6472129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可靠性要求</w:t>
            </w:r>
          </w:p>
        </w:tc>
        <w:tc>
          <w:tcPr>
            <w:tcW w:w="832" w:type="dxa"/>
            <w:shd w:val="clear" w:color="auto" w:fill="auto"/>
            <w:vAlign w:val="center"/>
          </w:tcPr>
          <w:p w14:paraId="0609AF9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*整机可靠性要求</w:t>
            </w:r>
          </w:p>
        </w:tc>
        <w:tc>
          <w:tcPr>
            <w:tcW w:w="1343" w:type="dxa"/>
            <w:shd w:val="clear" w:color="auto" w:fill="auto"/>
            <w:vAlign w:val="center"/>
          </w:tcPr>
          <w:p w14:paraId="2DEFAED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*风扇可靠性</w:t>
            </w:r>
          </w:p>
        </w:tc>
        <w:tc>
          <w:tcPr>
            <w:tcW w:w="3548" w:type="dxa"/>
            <w:shd w:val="clear" w:color="auto" w:fill="auto"/>
            <w:vAlign w:val="center"/>
          </w:tcPr>
          <w:p w14:paraId="002D99A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风扇寿命应不低于40000h</w:t>
            </w:r>
          </w:p>
        </w:tc>
        <w:tc>
          <w:tcPr>
            <w:tcW w:w="1293" w:type="dxa"/>
            <w:shd w:val="clear" w:color="auto" w:fill="auto"/>
            <w:vAlign w:val="center"/>
          </w:tcPr>
          <w:p w14:paraId="35CCC05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0E0E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5E2A3C3">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493A0CE">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127 </w:t>
            </w:r>
          </w:p>
        </w:tc>
        <w:tc>
          <w:tcPr>
            <w:tcW w:w="1379" w:type="dxa"/>
            <w:shd w:val="clear" w:color="auto" w:fill="auto"/>
            <w:vAlign w:val="center"/>
          </w:tcPr>
          <w:p w14:paraId="153639C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可靠性要求</w:t>
            </w:r>
          </w:p>
        </w:tc>
        <w:tc>
          <w:tcPr>
            <w:tcW w:w="832" w:type="dxa"/>
            <w:shd w:val="clear" w:color="auto" w:fill="auto"/>
            <w:vAlign w:val="center"/>
          </w:tcPr>
          <w:p w14:paraId="35052B4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*整机可靠性要求</w:t>
            </w:r>
          </w:p>
        </w:tc>
        <w:tc>
          <w:tcPr>
            <w:tcW w:w="1343" w:type="dxa"/>
            <w:shd w:val="clear" w:color="auto" w:fill="auto"/>
            <w:vAlign w:val="center"/>
          </w:tcPr>
          <w:p w14:paraId="6B41C83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*部件可靠性</w:t>
            </w:r>
          </w:p>
        </w:tc>
        <w:tc>
          <w:tcPr>
            <w:tcW w:w="3548" w:type="dxa"/>
            <w:shd w:val="clear" w:color="auto" w:fill="auto"/>
            <w:vAlign w:val="center"/>
          </w:tcPr>
          <w:p w14:paraId="19667176">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支持硬盘、电源、风扇热插拔(内置风扇除外)</w:t>
            </w:r>
          </w:p>
        </w:tc>
        <w:tc>
          <w:tcPr>
            <w:tcW w:w="1293" w:type="dxa"/>
            <w:shd w:val="clear" w:color="auto" w:fill="auto"/>
            <w:vAlign w:val="center"/>
          </w:tcPr>
          <w:p w14:paraId="515660C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0545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FB77779">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F49B90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128 </w:t>
            </w:r>
          </w:p>
        </w:tc>
        <w:tc>
          <w:tcPr>
            <w:tcW w:w="1379" w:type="dxa"/>
            <w:shd w:val="clear" w:color="auto" w:fill="auto"/>
            <w:vAlign w:val="center"/>
          </w:tcPr>
          <w:p w14:paraId="59117D5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包装及运输要求</w:t>
            </w:r>
          </w:p>
        </w:tc>
        <w:tc>
          <w:tcPr>
            <w:tcW w:w="832" w:type="dxa"/>
            <w:shd w:val="clear" w:color="auto" w:fill="auto"/>
            <w:vAlign w:val="center"/>
          </w:tcPr>
          <w:p w14:paraId="4E55A91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*包装及运输要求</w:t>
            </w:r>
          </w:p>
        </w:tc>
        <w:tc>
          <w:tcPr>
            <w:tcW w:w="1343" w:type="dxa"/>
            <w:shd w:val="clear" w:color="auto" w:fill="auto"/>
            <w:vAlign w:val="center"/>
          </w:tcPr>
          <w:p w14:paraId="0E788383">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*标志、包装、运输和贮存</w:t>
            </w:r>
          </w:p>
        </w:tc>
        <w:tc>
          <w:tcPr>
            <w:tcW w:w="3548" w:type="dxa"/>
            <w:shd w:val="clear" w:color="auto" w:fill="auto"/>
            <w:vAlign w:val="center"/>
          </w:tcPr>
          <w:p w14:paraId="19B37341">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符合GB/T 9813.3 和商品包装政府采购需求标准的相关规定</w:t>
            </w:r>
          </w:p>
        </w:tc>
        <w:tc>
          <w:tcPr>
            <w:tcW w:w="1293" w:type="dxa"/>
            <w:shd w:val="clear" w:color="auto" w:fill="auto"/>
            <w:vAlign w:val="center"/>
          </w:tcPr>
          <w:p w14:paraId="766490E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0AD7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F27D4F5">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7F1E132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129 </w:t>
            </w:r>
          </w:p>
        </w:tc>
        <w:tc>
          <w:tcPr>
            <w:tcW w:w="1379" w:type="dxa"/>
            <w:shd w:val="clear" w:color="auto" w:fill="auto"/>
            <w:vAlign w:val="center"/>
          </w:tcPr>
          <w:p w14:paraId="7A4138E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15B38E6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*服务响应</w:t>
            </w:r>
          </w:p>
        </w:tc>
        <w:tc>
          <w:tcPr>
            <w:tcW w:w="1343" w:type="dxa"/>
            <w:shd w:val="clear" w:color="auto" w:fill="auto"/>
            <w:vAlign w:val="center"/>
          </w:tcPr>
          <w:p w14:paraId="7C0EDBA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*服务响应</w:t>
            </w:r>
          </w:p>
        </w:tc>
        <w:tc>
          <w:tcPr>
            <w:tcW w:w="3548" w:type="dxa"/>
            <w:shd w:val="clear" w:color="auto" w:fill="auto"/>
            <w:vAlign w:val="center"/>
          </w:tcPr>
          <w:p w14:paraId="31D2D20E">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a) 提供电话、电子邮件、远程连接等多种形式服务；</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b) 提供同城 4h、异地 12h 技术响应服务，2 个工作日解决问题，对于未能解决的问题和故障应提供可行的升级方案，并提供周转设备；</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c) 建立全国技术服务体系和服务团体，符合专业服务体系标准要求，提供原厂中文服务；</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d) 服务周期内提供产品的维修、换件和升级服务</w:t>
            </w:r>
          </w:p>
        </w:tc>
        <w:tc>
          <w:tcPr>
            <w:tcW w:w="1293" w:type="dxa"/>
            <w:shd w:val="clear" w:color="auto" w:fill="auto"/>
            <w:vAlign w:val="center"/>
          </w:tcPr>
          <w:p w14:paraId="42A90AE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04A2D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9ADD8D9">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5F19C9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130 </w:t>
            </w:r>
          </w:p>
        </w:tc>
        <w:tc>
          <w:tcPr>
            <w:tcW w:w="1379" w:type="dxa"/>
            <w:shd w:val="clear" w:color="auto" w:fill="auto"/>
            <w:vAlign w:val="center"/>
          </w:tcPr>
          <w:p w14:paraId="742018B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56D251B2">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*服务响应</w:t>
            </w:r>
          </w:p>
        </w:tc>
        <w:tc>
          <w:tcPr>
            <w:tcW w:w="1343" w:type="dxa"/>
            <w:shd w:val="clear" w:color="auto" w:fill="auto"/>
            <w:vAlign w:val="center"/>
          </w:tcPr>
          <w:p w14:paraId="7F2449C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*培训服务</w:t>
            </w:r>
          </w:p>
        </w:tc>
        <w:tc>
          <w:tcPr>
            <w:tcW w:w="3548" w:type="dxa"/>
            <w:shd w:val="clear" w:color="auto" w:fill="auto"/>
            <w:vAlign w:val="center"/>
          </w:tcPr>
          <w:p w14:paraId="2BCB243F">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供应商提供培训材料、产品手册、培训视频等培训相关内容</w:t>
            </w:r>
          </w:p>
        </w:tc>
        <w:tc>
          <w:tcPr>
            <w:tcW w:w="1293" w:type="dxa"/>
            <w:shd w:val="clear" w:color="auto" w:fill="auto"/>
            <w:vAlign w:val="center"/>
          </w:tcPr>
          <w:p w14:paraId="20E1172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0E9A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1FA856E">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0463F50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131 </w:t>
            </w:r>
          </w:p>
        </w:tc>
        <w:tc>
          <w:tcPr>
            <w:tcW w:w="1379" w:type="dxa"/>
            <w:shd w:val="clear" w:color="auto" w:fill="auto"/>
            <w:vAlign w:val="center"/>
          </w:tcPr>
          <w:p w14:paraId="52BB84F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7D2E171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*服务周期</w:t>
            </w:r>
          </w:p>
        </w:tc>
        <w:tc>
          <w:tcPr>
            <w:tcW w:w="1343" w:type="dxa"/>
            <w:shd w:val="clear" w:color="auto" w:fill="auto"/>
            <w:vAlign w:val="center"/>
          </w:tcPr>
          <w:p w14:paraId="74D66AA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*服务周期</w:t>
            </w:r>
          </w:p>
        </w:tc>
        <w:tc>
          <w:tcPr>
            <w:tcW w:w="3548" w:type="dxa"/>
            <w:shd w:val="clear" w:color="auto" w:fill="auto"/>
            <w:vAlign w:val="center"/>
          </w:tcPr>
          <w:p w14:paraId="6F0CB419">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a) 产品免费服务周期（含换件和维修）应不小于 3 年；</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b) 设备停产后继续提供质量保障服务（含备品备件），服务终止时间与最后一批设备交付时间间隔不低于 6 年；</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c) 产品停止服务时间应提前 1 年告知客户；</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d) 产品发布日期需在随机文件中明确</w:t>
            </w:r>
          </w:p>
        </w:tc>
        <w:tc>
          <w:tcPr>
            <w:tcW w:w="1293" w:type="dxa"/>
            <w:shd w:val="clear" w:color="auto" w:fill="auto"/>
            <w:vAlign w:val="center"/>
          </w:tcPr>
          <w:p w14:paraId="281B34D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6D24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48568DC">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12D7A116">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132 </w:t>
            </w:r>
          </w:p>
        </w:tc>
        <w:tc>
          <w:tcPr>
            <w:tcW w:w="1379" w:type="dxa"/>
            <w:shd w:val="clear" w:color="auto" w:fill="auto"/>
            <w:vAlign w:val="center"/>
          </w:tcPr>
          <w:p w14:paraId="62C295F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1672BB0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*服务工具要求</w:t>
            </w:r>
          </w:p>
        </w:tc>
        <w:tc>
          <w:tcPr>
            <w:tcW w:w="1343" w:type="dxa"/>
            <w:shd w:val="clear" w:color="auto" w:fill="auto"/>
            <w:vAlign w:val="center"/>
          </w:tcPr>
          <w:p w14:paraId="09A179B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*工具要求</w:t>
            </w:r>
          </w:p>
        </w:tc>
        <w:tc>
          <w:tcPr>
            <w:tcW w:w="3548" w:type="dxa"/>
            <w:shd w:val="clear" w:color="auto" w:fill="auto"/>
            <w:vAlign w:val="center"/>
          </w:tcPr>
          <w:p w14:paraId="0F62F3F8">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供应商提供设置服务器硬件、辅助操作系统安装等功能的辅助工具和管理软件。且随附软件应具有合法授权或版权</w:t>
            </w:r>
          </w:p>
        </w:tc>
        <w:tc>
          <w:tcPr>
            <w:tcW w:w="1293" w:type="dxa"/>
            <w:shd w:val="clear" w:color="auto" w:fill="auto"/>
            <w:vAlign w:val="center"/>
          </w:tcPr>
          <w:p w14:paraId="4DC51D5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3373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04F5F4D">
            <w:pPr>
              <w:jc w:val="center"/>
              <w:rPr>
                <w:rFonts w:ascii="宋体" w:hAnsi="宋体" w:eastAsia="宋体" w:cs="仿宋"/>
                <w:sz w:val="20"/>
                <w:szCs w:val="20"/>
              </w:rPr>
            </w:pPr>
          </w:p>
        </w:tc>
        <w:tc>
          <w:tcPr>
            <w:tcW w:w="628" w:type="dxa"/>
            <w:shd w:val="clear" w:color="auto" w:fill="auto"/>
            <w:vAlign w:val="center"/>
          </w:tcPr>
          <w:p w14:paraId="220FAC1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133 </w:t>
            </w:r>
          </w:p>
        </w:tc>
        <w:tc>
          <w:tcPr>
            <w:tcW w:w="1379" w:type="dxa"/>
            <w:shd w:val="clear" w:color="auto" w:fill="auto"/>
            <w:vAlign w:val="center"/>
          </w:tcPr>
          <w:p w14:paraId="153B178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0767FE3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*服务工具要求</w:t>
            </w:r>
          </w:p>
        </w:tc>
        <w:tc>
          <w:tcPr>
            <w:tcW w:w="1343" w:type="dxa"/>
            <w:shd w:val="clear" w:color="auto" w:fill="auto"/>
            <w:vAlign w:val="center"/>
          </w:tcPr>
          <w:p w14:paraId="4221BA4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辅助工具</w:t>
            </w:r>
          </w:p>
        </w:tc>
        <w:tc>
          <w:tcPr>
            <w:tcW w:w="3548" w:type="dxa"/>
            <w:shd w:val="clear" w:color="auto" w:fill="auto"/>
            <w:vAlign w:val="center"/>
          </w:tcPr>
          <w:p w14:paraId="12DE32C8">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5FA5005C">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40F00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71857B3">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59DE027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134 </w:t>
            </w:r>
          </w:p>
        </w:tc>
        <w:tc>
          <w:tcPr>
            <w:tcW w:w="1379" w:type="dxa"/>
            <w:shd w:val="clear" w:color="auto" w:fill="auto"/>
            <w:vAlign w:val="center"/>
          </w:tcPr>
          <w:p w14:paraId="05913C0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4A156D0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*服务工具要求</w:t>
            </w:r>
          </w:p>
        </w:tc>
        <w:tc>
          <w:tcPr>
            <w:tcW w:w="1343" w:type="dxa"/>
            <w:shd w:val="clear" w:color="auto" w:fill="auto"/>
            <w:vAlign w:val="center"/>
          </w:tcPr>
          <w:p w14:paraId="5A45CAD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*驱动安装升级指引</w:t>
            </w:r>
          </w:p>
        </w:tc>
        <w:tc>
          <w:tcPr>
            <w:tcW w:w="3548" w:type="dxa"/>
            <w:shd w:val="clear" w:color="auto" w:fill="auto"/>
            <w:vAlign w:val="center"/>
          </w:tcPr>
          <w:p w14:paraId="261ED1C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供应商提供出厂安装的配件所需的驱动程序，形式包括但不限于驱动光盘、驱动下载链接等。其他配件应提供指引</w:t>
            </w:r>
          </w:p>
        </w:tc>
        <w:tc>
          <w:tcPr>
            <w:tcW w:w="1293" w:type="dxa"/>
            <w:shd w:val="clear" w:color="auto" w:fill="auto"/>
            <w:vAlign w:val="center"/>
          </w:tcPr>
          <w:p w14:paraId="5B10833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774B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3E42DC6">
            <w:pPr>
              <w:jc w:val="center"/>
              <w:rPr>
                <w:rFonts w:ascii="宋体" w:hAnsi="宋体" w:eastAsia="宋体" w:cs="仿宋"/>
                <w:sz w:val="20"/>
                <w:szCs w:val="20"/>
              </w:rPr>
            </w:pPr>
          </w:p>
        </w:tc>
        <w:tc>
          <w:tcPr>
            <w:tcW w:w="628" w:type="dxa"/>
            <w:shd w:val="clear" w:color="auto" w:fill="auto"/>
            <w:vAlign w:val="center"/>
          </w:tcPr>
          <w:p w14:paraId="484228F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135 </w:t>
            </w:r>
          </w:p>
        </w:tc>
        <w:tc>
          <w:tcPr>
            <w:tcW w:w="1379" w:type="dxa"/>
            <w:shd w:val="clear" w:color="auto" w:fill="auto"/>
            <w:vAlign w:val="center"/>
          </w:tcPr>
          <w:p w14:paraId="11BBD60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3B0C32E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*服务工具要求</w:t>
            </w:r>
          </w:p>
        </w:tc>
        <w:tc>
          <w:tcPr>
            <w:tcW w:w="1343" w:type="dxa"/>
            <w:shd w:val="clear" w:color="auto" w:fill="auto"/>
            <w:vAlign w:val="center"/>
          </w:tcPr>
          <w:p w14:paraId="35307B7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随机附开盖工具</w:t>
            </w:r>
          </w:p>
        </w:tc>
        <w:tc>
          <w:tcPr>
            <w:tcW w:w="3548" w:type="dxa"/>
            <w:shd w:val="clear" w:color="auto" w:fill="auto"/>
            <w:vAlign w:val="center"/>
          </w:tcPr>
          <w:p w14:paraId="01B203D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31A8D68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5BDA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9D53951">
            <w:pPr>
              <w:jc w:val="center"/>
              <w:rPr>
                <w:rFonts w:ascii="宋体" w:hAnsi="宋体" w:eastAsia="宋体" w:cs="仿宋"/>
                <w:sz w:val="20"/>
                <w:szCs w:val="20"/>
              </w:rPr>
            </w:pPr>
          </w:p>
        </w:tc>
        <w:tc>
          <w:tcPr>
            <w:tcW w:w="628" w:type="dxa"/>
            <w:shd w:val="clear" w:color="auto" w:fill="auto"/>
            <w:vAlign w:val="center"/>
          </w:tcPr>
          <w:p w14:paraId="6C30874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136 </w:t>
            </w:r>
          </w:p>
        </w:tc>
        <w:tc>
          <w:tcPr>
            <w:tcW w:w="1379" w:type="dxa"/>
            <w:shd w:val="clear" w:color="auto" w:fill="auto"/>
            <w:vAlign w:val="center"/>
          </w:tcPr>
          <w:p w14:paraId="567B18CE">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52D8418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*服务工具要求</w:t>
            </w:r>
          </w:p>
        </w:tc>
        <w:tc>
          <w:tcPr>
            <w:tcW w:w="1343" w:type="dxa"/>
            <w:shd w:val="clear" w:color="auto" w:fill="auto"/>
            <w:vAlign w:val="center"/>
          </w:tcPr>
          <w:p w14:paraId="69E719BD">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代码迁移工具</w:t>
            </w:r>
          </w:p>
        </w:tc>
        <w:tc>
          <w:tcPr>
            <w:tcW w:w="3548" w:type="dxa"/>
            <w:shd w:val="clear" w:color="auto" w:fill="auto"/>
            <w:vAlign w:val="center"/>
          </w:tcPr>
          <w:p w14:paraId="023DEF0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7C1A179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0902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4C33C8B">
            <w:pPr>
              <w:jc w:val="center"/>
              <w:rPr>
                <w:rFonts w:ascii="宋体" w:hAnsi="宋体" w:eastAsia="宋体" w:cs="仿宋"/>
                <w:sz w:val="20"/>
                <w:szCs w:val="20"/>
              </w:rPr>
            </w:pPr>
          </w:p>
        </w:tc>
        <w:tc>
          <w:tcPr>
            <w:tcW w:w="628" w:type="dxa"/>
            <w:shd w:val="clear" w:color="auto" w:fill="auto"/>
            <w:vAlign w:val="center"/>
          </w:tcPr>
          <w:p w14:paraId="47125221">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137 </w:t>
            </w:r>
          </w:p>
        </w:tc>
        <w:tc>
          <w:tcPr>
            <w:tcW w:w="1379" w:type="dxa"/>
            <w:shd w:val="clear" w:color="auto" w:fill="auto"/>
            <w:vAlign w:val="center"/>
          </w:tcPr>
          <w:p w14:paraId="354D12F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5026D38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*服务工具要求</w:t>
            </w:r>
          </w:p>
        </w:tc>
        <w:tc>
          <w:tcPr>
            <w:tcW w:w="1343" w:type="dxa"/>
            <w:shd w:val="clear" w:color="auto" w:fill="auto"/>
            <w:vAlign w:val="center"/>
          </w:tcPr>
          <w:p w14:paraId="319ACA2A">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性能分析工具</w:t>
            </w:r>
          </w:p>
        </w:tc>
        <w:tc>
          <w:tcPr>
            <w:tcW w:w="3548" w:type="dxa"/>
            <w:shd w:val="clear" w:color="auto" w:fill="auto"/>
            <w:vAlign w:val="center"/>
          </w:tcPr>
          <w:p w14:paraId="3AA22BC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0FF0A02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098E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B86FF33">
            <w:pPr>
              <w:jc w:val="center"/>
              <w:rPr>
                <w:rFonts w:ascii="宋体" w:hAnsi="宋体" w:eastAsia="宋体" w:cs="仿宋"/>
                <w:sz w:val="20"/>
                <w:szCs w:val="20"/>
              </w:rPr>
            </w:pPr>
          </w:p>
        </w:tc>
        <w:tc>
          <w:tcPr>
            <w:tcW w:w="628" w:type="dxa"/>
            <w:shd w:val="clear" w:color="auto" w:fill="auto"/>
            <w:vAlign w:val="center"/>
          </w:tcPr>
          <w:p w14:paraId="054BB01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138 </w:t>
            </w:r>
          </w:p>
        </w:tc>
        <w:tc>
          <w:tcPr>
            <w:tcW w:w="1379" w:type="dxa"/>
            <w:shd w:val="clear" w:color="auto" w:fill="auto"/>
            <w:vAlign w:val="center"/>
          </w:tcPr>
          <w:p w14:paraId="37B8D87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1867E247">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*服务工具要求</w:t>
            </w:r>
          </w:p>
        </w:tc>
        <w:tc>
          <w:tcPr>
            <w:tcW w:w="1343" w:type="dxa"/>
            <w:shd w:val="clear" w:color="auto" w:fill="auto"/>
            <w:vAlign w:val="center"/>
          </w:tcPr>
          <w:p w14:paraId="01FF66C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跨架构平台应用兼容</w:t>
            </w:r>
          </w:p>
        </w:tc>
        <w:tc>
          <w:tcPr>
            <w:tcW w:w="3548" w:type="dxa"/>
            <w:shd w:val="clear" w:color="auto" w:fill="auto"/>
            <w:vAlign w:val="center"/>
          </w:tcPr>
          <w:p w14:paraId="5A72F51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176BE30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58374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789D8CC">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5897DDBD">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139 </w:t>
            </w:r>
          </w:p>
        </w:tc>
        <w:tc>
          <w:tcPr>
            <w:tcW w:w="1379" w:type="dxa"/>
            <w:shd w:val="clear" w:color="auto" w:fill="auto"/>
            <w:vAlign w:val="center"/>
          </w:tcPr>
          <w:p w14:paraId="1F641571">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1D8F4125">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*服务工具要求</w:t>
            </w:r>
          </w:p>
        </w:tc>
        <w:tc>
          <w:tcPr>
            <w:tcW w:w="1343" w:type="dxa"/>
            <w:shd w:val="clear" w:color="auto" w:fill="auto"/>
            <w:vAlign w:val="center"/>
          </w:tcPr>
          <w:p w14:paraId="6D792A8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*管理软件</w:t>
            </w:r>
          </w:p>
        </w:tc>
        <w:tc>
          <w:tcPr>
            <w:tcW w:w="3548" w:type="dxa"/>
            <w:shd w:val="clear" w:color="auto" w:fill="auto"/>
            <w:vAlign w:val="center"/>
          </w:tcPr>
          <w:p w14:paraId="3D414F88">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具备资源管理、系统管理、性能监控、健康监控、基于网络控制、报警设置功能</w:t>
            </w:r>
          </w:p>
        </w:tc>
        <w:tc>
          <w:tcPr>
            <w:tcW w:w="1293" w:type="dxa"/>
            <w:shd w:val="clear" w:color="auto" w:fill="auto"/>
            <w:vAlign w:val="center"/>
          </w:tcPr>
          <w:p w14:paraId="108C99E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071C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26D211B">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5D54CF8">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140 </w:t>
            </w:r>
          </w:p>
        </w:tc>
        <w:tc>
          <w:tcPr>
            <w:tcW w:w="1379" w:type="dxa"/>
            <w:shd w:val="clear" w:color="auto" w:fill="auto"/>
            <w:vAlign w:val="center"/>
          </w:tcPr>
          <w:p w14:paraId="4A6B6CCC">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1FFBE676">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*增值服务</w:t>
            </w:r>
          </w:p>
        </w:tc>
        <w:tc>
          <w:tcPr>
            <w:tcW w:w="1343" w:type="dxa"/>
            <w:shd w:val="clear" w:color="auto" w:fill="auto"/>
            <w:vAlign w:val="center"/>
          </w:tcPr>
          <w:p w14:paraId="20E12DEB">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*厂家升级产品软件与扩容服务</w:t>
            </w:r>
          </w:p>
        </w:tc>
        <w:tc>
          <w:tcPr>
            <w:tcW w:w="3548" w:type="dxa"/>
            <w:shd w:val="clear" w:color="auto" w:fill="auto"/>
            <w:vAlign w:val="center"/>
          </w:tcPr>
          <w:p w14:paraId="03B47200">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供应商提供原厂级的部件/软件产品升级和扩容能力</w:t>
            </w:r>
          </w:p>
        </w:tc>
        <w:tc>
          <w:tcPr>
            <w:tcW w:w="1293" w:type="dxa"/>
            <w:shd w:val="clear" w:color="auto" w:fill="auto"/>
            <w:vAlign w:val="center"/>
          </w:tcPr>
          <w:p w14:paraId="5209BDE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5C0C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45ADED2">
            <w:pPr>
              <w:jc w:val="center"/>
              <w:rPr>
                <w:rFonts w:ascii="宋体" w:hAnsi="宋体" w:eastAsia="宋体" w:cs="仿宋"/>
                <w:sz w:val="20"/>
                <w:szCs w:val="20"/>
              </w:rPr>
            </w:pPr>
          </w:p>
        </w:tc>
        <w:tc>
          <w:tcPr>
            <w:tcW w:w="628" w:type="dxa"/>
            <w:shd w:val="clear" w:color="auto" w:fill="auto"/>
            <w:vAlign w:val="center"/>
          </w:tcPr>
          <w:p w14:paraId="0139F69A">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141 </w:t>
            </w:r>
          </w:p>
        </w:tc>
        <w:tc>
          <w:tcPr>
            <w:tcW w:w="1379" w:type="dxa"/>
            <w:shd w:val="clear" w:color="auto" w:fill="auto"/>
            <w:vAlign w:val="center"/>
          </w:tcPr>
          <w:p w14:paraId="78D0F24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1459C19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*增值服务</w:t>
            </w:r>
          </w:p>
        </w:tc>
        <w:tc>
          <w:tcPr>
            <w:tcW w:w="1343" w:type="dxa"/>
            <w:shd w:val="clear" w:color="auto" w:fill="auto"/>
            <w:vAlign w:val="center"/>
          </w:tcPr>
          <w:p w14:paraId="16C8355F">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服务保障升级</w:t>
            </w:r>
          </w:p>
        </w:tc>
        <w:tc>
          <w:tcPr>
            <w:tcW w:w="3548" w:type="dxa"/>
            <w:shd w:val="clear" w:color="auto" w:fill="auto"/>
            <w:vAlign w:val="center"/>
          </w:tcPr>
          <w:p w14:paraId="6B761233">
            <w:pPr>
              <w:keepNext w:val="0"/>
              <w:keepLines w:val="0"/>
              <w:widowControl/>
              <w:suppressLineNumbers w:val="0"/>
              <w:jc w:val="left"/>
              <w:textAlignment w:val="center"/>
              <w:rPr>
                <w:rFonts w:ascii="宋体" w:hAnsi="宋体" w:eastAsia="宋体" w:cs="仿宋"/>
                <w:sz w:val="20"/>
                <w:szCs w:val="20"/>
                <w:lang w:val="en-US" w:eastAsia="zh-CN"/>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418DD77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r>
      <w:tr w14:paraId="782C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0C9F2DC">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28FD52A0">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142 </w:t>
            </w:r>
          </w:p>
        </w:tc>
        <w:tc>
          <w:tcPr>
            <w:tcW w:w="1379" w:type="dxa"/>
            <w:shd w:val="clear" w:color="auto" w:fill="auto"/>
            <w:vAlign w:val="center"/>
          </w:tcPr>
          <w:p w14:paraId="3A71C61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78EEFAC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*增值服务</w:t>
            </w:r>
          </w:p>
        </w:tc>
        <w:tc>
          <w:tcPr>
            <w:tcW w:w="1343" w:type="dxa"/>
            <w:shd w:val="clear" w:color="auto" w:fill="auto"/>
            <w:vAlign w:val="center"/>
          </w:tcPr>
          <w:p w14:paraId="1321A65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*提供上门服务</w:t>
            </w:r>
          </w:p>
        </w:tc>
        <w:tc>
          <w:tcPr>
            <w:tcW w:w="3548" w:type="dxa"/>
            <w:shd w:val="clear" w:color="auto" w:fill="auto"/>
            <w:vAlign w:val="center"/>
          </w:tcPr>
          <w:p w14:paraId="0EC6E5E0">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供应商具备提供上门服务的能力(可收费)</w:t>
            </w:r>
          </w:p>
        </w:tc>
        <w:tc>
          <w:tcPr>
            <w:tcW w:w="1293" w:type="dxa"/>
            <w:shd w:val="clear" w:color="auto" w:fill="auto"/>
            <w:vAlign w:val="center"/>
          </w:tcPr>
          <w:p w14:paraId="584C0159">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29EB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5F46FC0">
            <w:pPr>
              <w:jc w:val="center"/>
              <w:rPr>
                <w:rFonts w:ascii="宋体" w:hAnsi="宋体" w:eastAsia="宋体" w:cs="仿宋"/>
                <w:sz w:val="20"/>
                <w:szCs w:val="20"/>
              </w:rPr>
            </w:pPr>
          </w:p>
        </w:tc>
        <w:tc>
          <w:tcPr>
            <w:tcW w:w="628" w:type="dxa"/>
            <w:shd w:val="clear" w:color="auto" w:fill="auto"/>
            <w:vAlign w:val="center"/>
          </w:tcPr>
          <w:p w14:paraId="1D9A12E7">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143 </w:t>
            </w:r>
          </w:p>
        </w:tc>
        <w:tc>
          <w:tcPr>
            <w:tcW w:w="1379" w:type="dxa"/>
            <w:shd w:val="clear" w:color="auto" w:fill="auto"/>
            <w:vAlign w:val="center"/>
          </w:tcPr>
          <w:p w14:paraId="66BFD7E8">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服务要求</w:t>
            </w:r>
          </w:p>
        </w:tc>
        <w:tc>
          <w:tcPr>
            <w:tcW w:w="832" w:type="dxa"/>
            <w:shd w:val="clear" w:color="auto" w:fill="auto"/>
            <w:vAlign w:val="center"/>
          </w:tcPr>
          <w:p w14:paraId="57E7008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*增值服务</w:t>
            </w:r>
          </w:p>
        </w:tc>
        <w:tc>
          <w:tcPr>
            <w:tcW w:w="1343" w:type="dxa"/>
            <w:shd w:val="clear" w:color="auto" w:fill="auto"/>
            <w:vAlign w:val="center"/>
          </w:tcPr>
          <w:p w14:paraId="65C1775C">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业务场景性能优化服务及整体架构升级服务</w:t>
            </w:r>
          </w:p>
        </w:tc>
        <w:tc>
          <w:tcPr>
            <w:tcW w:w="3548" w:type="dxa"/>
            <w:shd w:val="clear" w:color="auto" w:fill="auto"/>
            <w:vAlign w:val="center"/>
          </w:tcPr>
          <w:p w14:paraId="18B442EB">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w:t>
            </w:r>
          </w:p>
        </w:tc>
        <w:tc>
          <w:tcPr>
            <w:tcW w:w="1293" w:type="dxa"/>
            <w:shd w:val="clear" w:color="auto" w:fill="auto"/>
            <w:vAlign w:val="center"/>
          </w:tcPr>
          <w:p w14:paraId="40D7DAD0">
            <w:pPr>
              <w:keepNext w:val="0"/>
              <w:keepLines w:val="0"/>
              <w:widowControl/>
              <w:suppressLineNumbers w:val="0"/>
              <w:jc w:val="center"/>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w:t>
            </w:r>
          </w:p>
        </w:tc>
      </w:tr>
      <w:tr w14:paraId="0A38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103F90D">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3C34D903">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144 </w:t>
            </w:r>
          </w:p>
        </w:tc>
        <w:tc>
          <w:tcPr>
            <w:tcW w:w="1379" w:type="dxa"/>
            <w:shd w:val="clear" w:color="auto" w:fill="auto"/>
            <w:vAlign w:val="center"/>
          </w:tcPr>
          <w:p w14:paraId="7C6E464F">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供保要求</w:t>
            </w:r>
          </w:p>
        </w:tc>
        <w:tc>
          <w:tcPr>
            <w:tcW w:w="832" w:type="dxa"/>
            <w:shd w:val="clear" w:color="auto" w:fill="auto"/>
            <w:vAlign w:val="center"/>
          </w:tcPr>
          <w:p w14:paraId="704E764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*供应链质量</w:t>
            </w:r>
          </w:p>
        </w:tc>
        <w:tc>
          <w:tcPr>
            <w:tcW w:w="1343" w:type="dxa"/>
            <w:shd w:val="clear" w:color="auto" w:fill="auto"/>
            <w:vAlign w:val="center"/>
          </w:tcPr>
          <w:p w14:paraId="6580F194">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*抗干扰性</w:t>
            </w:r>
          </w:p>
        </w:tc>
        <w:tc>
          <w:tcPr>
            <w:tcW w:w="3548" w:type="dxa"/>
            <w:shd w:val="clear" w:color="auto" w:fill="auto"/>
            <w:vAlign w:val="center"/>
          </w:tcPr>
          <w:p w14:paraId="25A30D82">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当产品部件出现供应风险时，应通知客户并提供风险应对方案确保产品的服务保障，必要时应停止相关受影响产品的销售</w:t>
            </w:r>
          </w:p>
        </w:tc>
        <w:tc>
          <w:tcPr>
            <w:tcW w:w="1293" w:type="dxa"/>
            <w:shd w:val="clear" w:color="auto" w:fill="auto"/>
            <w:vAlign w:val="center"/>
          </w:tcPr>
          <w:p w14:paraId="1767FC54">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r w14:paraId="4B14A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A4BBA33">
            <w:pPr>
              <w:keepNext w:val="0"/>
              <w:keepLines w:val="0"/>
              <w:widowControl/>
              <w:suppressLineNumbers w:val="0"/>
              <w:jc w:val="center"/>
              <w:textAlignment w:val="center"/>
              <w:rPr>
                <w:rFonts w:ascii="宋体" w:hAnsi="宋体" w:eastAsia="宋体" w:cs="仿宋"/>
                <w:sz w:val="20"/>
                <w:szCs w:val="20"/>
              </w:rPr>
            </w:pPr>
            <w:r>
              <w:rPr>
                <w:rFonts w:hint="eastAsia" w:ascii="宋体" w:hAnsi="宋体" w:eastAsia="宋体" w:cs="宋体"/>
                <w:i w:val="0"/>
                <w:iCs w:val="0"/>
                <w:color w:val="000000"/>
                <w:kern w:val="0"/>
                <w:sz w:val="20"/>
                <w:szCs w:val="20"/>
                <w:u w:val="none"/>
                <w:lang w:val="en-US" w:eastAsia="zh-CN" w:bidi="ar"/>
              </w:rPr>
              <w:t>★</w:t>
            </w:r>
          </w:p>
        </w:tc>
        <w:tc>
          <w:tcPr>
            <w:tcW w:w="628" w:type="dxa"/>
            <w:shd w:val="clear" w:color="auto" w:fill="auto"/>
            <w:vAlign w:val="center"/>
          </w:tcPr>
          <w:p w14:paraId="6B1DE64B">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 xml:space="preserve">145 </w:t>
            </w:r>
          </w:p>
        </w:tc>
        <w:tc>
          <w:tcPr>
            <w:tcW w:w="1379" w:type="dxa"/>
            <w:shd w:val="clear" w:color="auto" w:fill="auto"/>
            <w:vAlign w:val="center"/>
          </w:tcPr>
          <w:p w14:paraId="7B53297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供保要求</w:t>
            </w:r>
          </w:p>
        </w:tc>
        <w:tc>
          <w:tcPr>
            <w:tcW w:w="832" w:type="dxa"/>
            <w:shd w:val="clear" w:color="auto" w:fill="auto"/>
            <w:vAlign w:val="center"/>
          </w:tcPr>
          <w:p w14:paraId="68036B23">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*供应链质量</w:t>
            </w:r>
          </w:p>
        </w:tc>
        <w:tc>
          <w:tcPr>
            <w:tcW w:w="1343" w:type="dxa"/>
            <w:shd w:val="clear" w:color="auto" w:fill="auto"/>
            <w:vAlign w:val="center"/>
          </w:tcPr>
          <w:p w14:paraId="0A8570F9">
            <w:pPr>
              <w:keepNext w:val="0"/>
              <w:keepLines w:val="0"/>
              <w:widowControl/>
              <w:suppressLineNumbers w:val="0"/>
              <w:jc w:val="left"/>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*供应能力证明</w:t>
            </w:r>
          </w:p>
        </w:tc>
        <w:tc>
          <w:tcPr>
            <w:tcW w:w="3548" w:type="dxa"/>
            <w:shd w:val="clear" w:color="auto" w:fill="auto"/>
            <w:vAlign w:val="center"/>
          </w:tcPr>
          <w:p w14:paraId="69FDC24D">
            <w:pPr>
              <w:keepNext w:val="0"/>
              <w:keepLines w:val="0"/>
              <w:widowControl/>
              <w:suppressLineNumbers w:val="0"/>
              <w:jc w:val="left"/>
              <w:textAlignment w:val="center"/>
              <w:rPr>
                <w:rFonts w:ascii="宋体" w:hAnsi="宋体" w:eastAsia="宋体" w:cs="仿宋"/>
                <w:sz w:val="20"/>
                <w:szCs w:val="20"/>
                <w:lang w:eastAsia="zh-CN"/>
              </w:rPr>
            </w:pPr>
            <w:r>
              <w:rPr>
                <w:rFonts w:hint="eastAsia" w:ascii="黑体" w:hAnsi="宋体" w:eastAsia="黑体" w:cs="黑体"/>
                <w:i w:val="0"/>
                <w:iCs w:val="0"/>
                <w:color w:val="000000"/>
                <w:kern w:val="0"/>
                <w:sz w:val="16"/>
                <w:szCs w:val="16"/>
                <w:u w:val="none"/>
                <w:lang w:val="en-US" w:eastAsia="zh-CN" w:bidi="ar"/>
              </w:rPr>
              <w:t>供应商提供供应链稳定承诺书，确保产品的部件在产品服务周期内稳定供货</w:t>
            </w:r>
          </w:p>
        </w:tc>
        <w:tc>
          <w:tcPr>
            <w:tcW w:w="1293" w:type="dxa"/>
            <w:shd w:val="clear" w:color="auto" w:fill="auto"/>
            <w:vAlign w:val="center"/>
          </w:tcPr>
          <w:p w14:paraId="20FE5175">
            <w:pPr>
              <w:keepNext w:val="0"/>
              <w:keepLines w:val="0"/>
              <w:widowControl/>
              <w:suppressLineNumbers w:val="0"/>
              <w:jc w:val="center"/>
              <w:textAlignment w:val="center"/>
              <w:rPr>
                <w:rFonts w:ascii="宋体" w:hAnsi="宋体" w:eastAsia="宋体" w:cs="仿宋"/>
                <w:sz w:val="20"/>
                <w:szCs w:val="20"/>
              </w:rPr>
            </w:pPr>
            <w:r>
              <w:rPr>
                <w:rFonts w:hint="eastAsia" w:ascii="黑体" w:hAnsi="宋体" w:eastAsia="黑体" w:cs="黑体"/>
                <w:i w:val="0"/>
                <w:iCs w:val="0"/>
                <w:color w:val="000000"/>
                <w:kern w:val="0"/>
                <w:sz w:val="16"/>
                <w:szCs w:val="16"/>
                <w:u w:val="none"/>
                <w:lang w:val="en-US" w:eastAsia="zh-CN" w:bidi="ar"/>
              </w:rPr>
              <w:t>否</w:t>
            </w:r>
          </w:p>
        </w:tc>
      </w:tr>
    </w:tbl>
    <w:p w14:paraId="777730B9">
      <w:pPr>
        <w:spacing w:after="0" w:line="240" w:lineRule="auto"/>
        <w:rPr>
          <w:rFonts w:ascii="宋体" w:hAnsi="宋体" w:eastAsia="宋体"/>
        </w:rPr>
      </w:pPr>
    </w:p>
    <w:p w14:paraId="5C59C5E9">
      <w:pPr>
        <w:spacing w:after="0" w:line="240" w:lineRule="auto"/>
      </w:pPr>
    </w:p>
    <w:p w14:paraId="6F9CF6C2">
      <w:pPr>
        <w:spacing w:after="0" w:line="240" w:lineRule="auto"/>
        <w:rPr>
          <w:rFonts w:hint="default" w:ascii="仿宋_GB2312" w:hAnsi="Times New Roman" w:eastAsia="仿宋_GB2312" w:cs="Times New Roman"/>
          <w:b/>
          <w:bCs/>
          <w:color w:val="auto"/>
          <w:sz w:val="28"/>
          <w:szCs w:val="28"/>
          <w:lang w:val="en-US" w:eastAsia="zh-CN"/>
        </w:rPr>
      </w:pPr>
    </w:p>
    <w:p w14:paraId="5291AA67">
      <w:pPr>
        <w:spacing w:after="0" w:line="240" w:lineRule="auto"/>
        <w:rPr>
          <w:rFonts w:hint="default" w:ascii="仿宋_GB2312" w:hAnsi="Times New Roman" w:eastAsia="仿宋_GB2312" w:cs="Times New Roman"/>
          <w:b/>
          <w:bCs/>
          <w:color w:val="auto"/>
          <w:sz w:val="28"/>
          <w:szCs w:val="28"/>
          <w:lang w:val="en-US" w:eastAsia="zh-CN"/>
        </w:rPr>
      </w:pPr>
    </w:p>
    <w:p w14:paraId="4AF64F6E">
      <w:pPr>
        <w:spacing w:after="0" w:line="240" w:lineRule="auto"/>
        <w:rPr>
          <w:rFonts w:hint="default" w:ascii="仿宋_GB2312" w:hAnsi="Times New Roman" w:eastAsia="仿宋_GB2312" w:cs="Times New Roman"/>
          <w:b/>
          <w:bCs/>
          <w:color w:val="auto"/>
          <w:sz w:val="28"/>
          <w:szCs w:val="28"/>
          <w:lang w:val="en-US" w:eastAsia="zh-CN"/>
        </w:rPr>
      </w:pPr>
    </w:p>
    <w:p w14:paraId="3F8A0FE4">
      <w:pPr>
        <w:spacing w:after="0" w:line="240" w:lineRule="auto"/>
        <w:rPr>
          <w:rFonts w:ascii="Times New Roman" w:hAnsi="Times New Roman" w:eastAsia="宋体" w:cs="Times New Roman"/>
          <w:color w:val="auto"/>
          <w:kern w:val="0"/>
          <w:lang w:val="en-US" w:eastAsia="zh-CN"/>
        </w:rPr>
      </w:pPr>
    </w:p>
    <w:p w14:paraId="692D003A">
      <w:pPr>
        <w:spacing w:line="360" w:lineRule="auto"/>
        <w:ind w:left="1080" w:hanging="540"/>
        <w:jc w:val="center"/>
        <w:rPr>
          <w:rFonts w:hint="default" w:ascii="Times New Roman" w:hAnsi="Times New Roman" w:eastAsia="宋体" w:cs="Times New Roman"/>
          <w:color w:val="auto"/>
          <w:lang w:eastAsia="zh-CN"/>
        </w:rPr>
        <w:sectPr>
          <w:pgSz w:w="11900" w:h="16840"/>
          <w:pgMar w:top="1440" w:right="1800" w:bottom="1440" w:left="1800" w:header="851" w:footer="992" w:gutter="0"/>
          <w:cols w:space="720" w:num="1"/>
        </w:sectPr>
      </w:pPr>
    </w:p>
    <w:p w14:paraId="6E6CE6E9">
      <w:pPr>
        <w:pStyle w:val="39"/>
        <w:spacing w:line="340" w:lineRule="exact"/>
        <w:ind w:left="0" w:leftChars="0" w:firstLine="560" w:firstLineChars="200"/>
        <w:outlineLvl w:val="9"/>
        <w:rPr>
          <w:rFonts w:ascii="黑体" w:hAnsi="黑体" w:eastAsia="黑体" w:cs="黑体"/>
          <w:color w:val="auto"/>
          <w:sz w:val="28"/>
          <w:szCs w:val="28"/>
          <w:lang w:val="en-US" w:eastAsia="zh-CN"/>
        </w:rPr>
      </w:pPr>
    </w:p>
    <w:p w14:paraId="0154C484">
      <w:pPr>
        <w:pStyle w:val="39"/>
        <w:spacing w:line="340" w:lineRule="exact"/>
        <w:ind w:left="0" w:leftChars="0" w:firstLine="560" w:firstLineChars="200"/>
        <w:outlineLvl w:val="1"/>
        <w:rPr>
          <w:rFonts w:ascii="黑体" w:hAnsi="黑体" w:eastAsia="黑体" w:cs="黑体"/>
          <w:color w:val="auto"/>
          <w:sz w:val="28"/>
          <w:szCs w:val="28"/>
          <w:lang w:val="en-US" w:eastAsia="zh-CN"/>
        </w:rPr>
      </w:pPr>
      <w:r>
        <w:rPr>
          <w:rFonts w:ascii="黑体" w:hAnsi="黑体" w:eastAsia="黑体" w:cs="黑体"/>
          <w:color w:val="auto"/>
          <w:sz w:val="28"/>
          <w:szCs w:val="28"/>
          <w:lang w:val="en-US" w:eastAsia="zh-CN"/>
        </w:rPr>
        <w:t>二、履约验收</w:t>
      </w:r>
      <w:r>
        <w:rPr>
          <w:rFonts w:hint="eastAsia" w:ascii="FangSong_GB2312" w:hAnsi="FangSong_GB2312" w:eastAsia="FangSong_GB2312" w:cs="FangSong_GB2312"/>
          <w:b/>
          <w:caps/>
          <w:color w:val="auto"/>
          <w:kern w:val="0"/>
          <w:sz w:val="32"/>
          <w:szCs w:val="32"/>
          <w:highlight w:val="none"/>
          <w:lang w:val="en-US" w:eastAsia="zh-CN"/>
        </w:rPr>
        <w:t>方式及标准</w:t>
      </w:r>
    </w:p>
    <w:p w14:paraId="048DC269">
      <w:pPr>
        <w:numPr>
          <w:ilvl w:val="255"/>
          <w:numId w:val="0"/>
        </w:numPr>
        <w:spacing w:after="0" w:line="360" w:lineRule="auto"/>
        <w:ind w:firstLine="560" w:firstLineChars="200"/>
        <w:jc w:val="left"/>
        <w:rPr>
          <w:rFonts w:ascii="仿宋" w:hAnsi="仿宋" w:eastAsia="仿宋" w:cs="仿宋"/>
          <w:caps/>
          <w:kern w:val="0"/>
          <w:sz w:val="28"/>
          <w:szCs w:val="28"/>
          <w:lang w:val="en-US" w:eastAsia="zh-CN"/>
        </w:rPr>
      </w:pPr>
      <w:r>
        <w:rPr>
          <w:rFonts w:ascii="仿宋" w:hAnsi="仿宋" w:eastAsia="仿宋" w:cs="仿宋"/>
          <w:caps/>
          <w:kern w:val="0"/>
          <w:sz w:val="28"/>
          <w:szCs w:val="28"/>
          <w:lang w:val="en-US" w:eastAsia="zh-CN"/>
        </w:rPr>
        <w:t>验收组织方式：</w:t>
      </w:r>
      <w:r>
        <w:rPr>
          <w:rFonts w:ascii="仿宋" w:hAnsi="仿宋" w:eastAsia="仿宋" w:cs="仿宋"/>
          <w:caps/>
          <w:kern w:val="0"/>
          <w:sz w:val="28"/>
          <w:szCs w:val="28"/>
          <w:lang w:val="en-US" w:eastAsia="zh-CN"/>
        </w:rPr>
        <w:sym w:font="Wingdings" w:char="00FE"/>
      </w:r>
      <w:r>
        <w:rPr>
          <w:rFonts w:ascii="仿宋" w:hAnsi="仿宋" w:eastAsia="仿宋" w:cs="仿宋"/>
          <w:caps/>
          <w:kern w:val="0"/>
          <w:sz w:val="28"/>
          <w:szCs w:val="28"/>
          <w:lang w:val="en-US" w:eastAsia="zh-CN"/>
        </w:rPr>
        <w:t xml:space="preserve">自行组织 </w:t>
      </w:r>
      <w:r>
        <w:rPr>
          <w:rFonts w:ascii="仿宋" w:hAnsi="仿宋" w:eastAsia="仿宋" w:cs="仿宋"/>
          <w:caps/>
          <w:kern w:val="0"/>
          <w:sz w:val="28"/>
          <w:szCs w:val="28"/>
          <w:lang w:val="en-US" w:eastAsia="zh-CN"/>
        </w:rPr>
        <w:sym w:font="Wingdings" w:char="00A8"/>
      </w:r>
      <w:r>
        <w:rPr>
          <w:rFonts w:ascii="仿宋" w:hAnsi="仿宋" w:eastAsia="仿宋" w:cs="仿宋"/>
          <w:caps/>
          <w:kern w:val="0"/>
          <w:sz w:val="28"/>
          <w:szCs w:val="28"/>
          <w:lang w:val="en-US" w:eastAsia="zh-CN"/>
        </w:rPr>
        <w:t>委托第三方组织</w:t>
      </w:r>
    </w:p>
    <w:p w14:paraId="2AA71E2C">
      <w:pPr>
        <w:spacing w:after="0" w:line="360" w:lineRule="auto"/>
        <w:ind w:firstLine="560" w:firstLineChars="200"/>
        <w:jc w:val="left"/>
        <w:rPr>
          <w:rFonts w:ascii="仿宋" w:hAnsi="仿宋" w:eastAsia="仿宋" w:cs="仿宋"/>
          <w:caps/>
          <w:kern w:val="0"/>
          <w:sz w:val="28"/>
          <w:szCs w:val="28"/>
          <w:lang w:val="en-US" w:eastAsia="zh-CN"/>
        </w:rPr>
      </w:pPr>
      <w:r>
        <w:rPr>
          <w:rFonts w:ascii="仿宋" w:hAnsi="仿宋" w:eastAsia="仿宋" w:cs="仿宋"/>
          <w:caps/>
          <w:kern w:val="0"/>
          <w:sz w:val="28"/>
          <w:szCs w:val="28"/>
          <w:lang w:val="en-US" w:eastAsia="zh-CN"/>
        </w:rPr>
        <w:t xml:space="preserve">         验收主体：</w:t>
      </w:r>
      <w:r>
        <w:rPr>
          <w:rFonts w:ascii="仿宋" w:hAnsi="仿宋" w:eastAsia="仿宋" w:cs="仿宋"/>
          <w:caps/>
          <w:kern w:val="0"/>
          <w:sz w:val="28"/>
          <w:szCs w:val="28"/>
          <w:u w:val="single"/>
          <w:lang w:val="en-US" w:eastAsia="zh-CN"/>
        </w:rPr>
        <w:t xml:space="preserve">  新乡医学院第一附属医院</w:t>
      </w:r>
      <w:r>
        <w:rPr>
          <w:rFonts w:hint="eastAsia" w:ascii="仿宋" w:hAnsi="仿宋" w:eastAsia="仿宋" w:cs="仿宋"/>
          <w:caps/>
          <w:kern w:val="0"/>
          <w:sz w:val="28"/>
          <w:szCs w:val="28"/>
          <w:u w:val="single"/>
          <w:lang w:val="en-US" w:eastAsia="zh-CN"/>
        </w:rPr>
        <w:t xml:space="preserve"> </w:t>
      </w:r>
      <w:r>
        <w:rPr>
          <w:rFonts w:ascii="仿宋" w:hAnsi="仿宋" w:eastAsia="仿宋" w:cs="仿宋"/>
          <w:caps/>
          <w:kern w:val="0"/>
          <w:sz w:val="28"/>
          <w:szCs w:val="28"/>
          <w:u w:val="single"/>
          <w:lang w:val="en-US" w:eastAsia="zh-CN"/>
        </w:rPr>
        <w:t xml:space="preserve"> </w:t>
      </w:r>
      <w:r>
        <w:rPr>
          <w:rFonts w:ascii="仿宋" w:hAnsi="仿宋" w:eastAsia="仿宋" w:cs="仿宋"/>
          <w:caps/>
          <w:kern w:val="0"/>
          <w:sz w:val="28"/>
          <w:szCs w:val="28"/>
          <w:lang w:val="en-US" w:eastAsia="zh-CN"/>
        </w:rPr>
        <w:t xml:space="preserve">       </w:t>
      </w:r>
    </w:p>
    <w:p w14:paraId="38628F97">
      <w:pPr>
        <w:spacing w:after="0" w:line="360" w:lineRule="auto"/>
        <w:ind w:firstLine="560" w:firstLineChars="200"/>
        <w:jc w:val="left"/>
        <w:rPr>
          <w:rFonts w:ascii="仿宋" w:hAnsi="仿宋" w:eastAsia="仿宋" w:cs="仿宋"/>
          <w:caps/>
          <w:kern w:val="0"/>
          <w:sz w:val="28"/>
          <w:szCs w:val="28"/>
          <w:lang w:val="en-US" w:eastAsia="zh-CN"/>
        </w:rPr>
      </w:pPr>
      <w:r>
        <w:rPr>
          <w:rFonts w:ascii="仿宋" w:hAnsi="仿宋" w:eastAsia="仿宋" w:cs="仿宋"/>
          <w:caps/>
          <w:kern w:val="0"/>
          <w:sz w:val="28"/>
          <w:szCs w:val="28"/>
          <w:lang w:val="en-US" w:eastAsia="zh-CN"/>
        </w:rPr>
        <w:t xml:space="preserve">        是否邀请本项目的其他供应商参加验收：</w:t>
      </w:r>
      <w:r>
        <w:rPr>
          <w:rFonts w:ascii="仿宋" w:hAnsi="仿宋" w:eastAsia="仿宋" w:cs="仿宋"/>
          <w:caps/>
          <w:kern w:val="0"/>
          <w:sz w:val="28"/>
          <w:szCs w:val="28"/>
          <w:lang w:val="en-US" w:eastAsia="zh-CN"/>
        </w:rPr>
        <w:sym w:font="Wingdings" w:char="00A8"/>
      </w:r>
      <w:r>
        <w:rPr>
          <w:rFonts w:ascii="仿宋" w:hAnsi="仿宋" w:eastAsia="仿宋" w:cs="仿宋"/>
          <w:caps/>
          <w:kern w:val="0"/>
          <w:sz w:val="28"/>
          <w:szCs w:val="28"/>
          <w:lang w:val="en-US" w:eastAsia="zh-CN"/>
        </w:rPr>
        <w:t xml:space="preserve">是  </w:t>
      </w:r>
      <w:r>
        <w:rPr>
          <w:rFonts w:ascii="仿宋" w:hAnsi="仿宋" w:eastAsia="仿宋" w:cs="仿宋"/>
          <w:caps/>
          <w:kern w:val="0"/>
          <w:sz w:val="28"/>
          <w:szCs w:val="28"/>
          <w:lang w:val="en-US" w:eastAsia="zh-CN"/>
        </w:rPr>
        <w:sym w:font="Wingdings" w:char="00FE"/>
      </w:r>
      <w:r>
        <w:rPr>
          <w:rFonts w:ascii="仿宋" w:hAnsi="仿宋" w:eastAsia="仿宋" w:cs="仿宋"/>
          <w:caps/>
          <w:kern w:val="0"/>
          <w:sz w:val="28"/>
          <w:szCs w:val="28"/>
          <w:lang w:val="en-US" w:eastAsia="zh-CN"/>
        </w:rPr>
        <w:t>否</w:t>
      </w:r>
    </w:p>
    <w:p w14:paraId="3A779E02">
      <w:pPr>
        <w:spacing w:after="0" w:line="360" w:lineRule="auto"/>
        <w:ind w:firstLine="560" w:firstLineChars="200"/>
        <w:jc w:val="left"/>
        <w:rPr>
          <w:rFonts w:ascii="仿宋" w:hAnsi="仿宋" w:eastAsia="仿宋" w:cs="仿宋"/>
          <w:caps/>
          <w:kern w:val="0"/>
          <w:sz w:val="28"/>
          <w:szCs w:val="28"/>
          <w:lang w:val="en-US" w:eastAsia="zh-CN"/>
        </w:rPr>
      </w:pPr>
      <w:r>
        <w:rPr>
          <w:rFonts w:ascii="仿宋" w:hAnsi="仿宋" w:eastAsia="仿宋" w:cs="仿宋"/>
          <w:caps/>
          <w:kern w:val="0"/>
          <w:sz w:val="28"/>
          <w:szCs w:val="28"/>
          <w:lang w:val="en-US" w:eastAsia="zh-CN"/>
        </w:rPr>
        <w:t>是否邀请专家参加验收：</w:t>
      </w:r>
      <w:r>
        <w:rPr>
          <w:rFonts w:ascii="仿宋" w:hAnsi="仿宋" w:eastAsia="仿宋" w:cs="仿宋"/>
          <w:caps/>
          <w:kern w:val="0"/>
          <w:sz w:val="28"/>
          <w:szCs w:val="28"/>
          <w:lang w:val="en-US" w:eastAsia="zh-CN"/>
        </w:rPr>
        <w:sym w:font="Wingdings" w:char="00FE"/>
      </w:r>
      <w:r>
        <w:rPr>
          <w:rFonts w:ascii="仿宋" w:hAnsi="仿宋" w:eastAsia="仿宋" w:cs="仿宋"/>
          <w:caps/>
          <w:kern w:val="0"/>
          <w:sz w:val="28"/>
          <w:szCs w:val="28"/>
          <w:lang w:val="en-US" w:eastAsia="zh-CN"/>
        </w:rPr>
        <w:t xml:space="preserve">是  </w:t>
      </w:r>
      <w:r>
        <w:rPr>
          <w:rFonts w:ascii="仿宋" w:hAnsi="仿宋" w:eastAsia="仿宋" w:cs="仿宋"/>
          <w:caps/>
          <w:kern w:val="0"/>
          <w:sz w:val="28"/>
          <w:szCs w:val="28"/>
          <w:lang w:val="en-US" w:eastAsia="zh-CN"/>
        </w:rPr>
        <w:sym w:font="Wingdings" w:char="00A8"/>
      </w:r>
      <w:r>
        <w:rPr>
          <w:rFonts w:ascii="仿宋" w:hAnsi="仿宋" w:eastAsia="仿宋" w:cs="仿宋"/>
          <w:caps/>
          <w:kern w:val="0"/>
          <w:sz w:val="28"/>
          <w:szCs w:val="28"/>
          <w:lang w:val="en-US" w:eastAsia="zh-CN"/>
        </w:rPr>
        <w:t>否</w:t>
      </w:r>
    </w:p>
    <w:p w14:paraId="34ABAE55">
      <w:pPr>
        <w:spacing w:after="0" w:line="360" w:lineRule="auto"/>
        <w:ind w:firstLine="560" w:firstLineChars="200"/>
        <w:jc w:val="left"/>
        <w:rPr>
          <w:rFonts w:ascii="仿宋" w:hAnsi="仿宋" w:eastAsia="仿宋" w:cs="仿宋"/>
          <w:caps/>
          <w:kern w:val="0"/>
          <w:sz w:val="28"/>
          <w:szCs w:val="28"/>
          <w:lang w:val="en-US" w:eastAsia="zh-CN"/>
        </w:rPr>
      </w:pPr>
      <w:r>
        <w:rPr>
          <w:rFonts w:ascii="仿宋" w:hAnsi="仿宋" w:eastAsia="仿宋" w:cs="仿宋"/>
          <w:caps/>
          <w:kern w:val="0"/>
          <w:sz w:val="28"/>
          <w:szCs w:val="28"/>
          <w:lang w:val="en-US" w:eastAsia="zh-CN"/>
        </w:rPr>
        <w:t>是否邀请服务对象参加验收：</w:t>
      </w:r>
      <w:r>
        <w:rPr>
          <w:rFonts w:ascii="仿宋" w:hAnsi="仿宋" w:eastAsia="仿宋" w:cs="仿宋"/>
          <w:caps/>
          <w:kern w:val="0"/>
          <w:sz w:val="28"/>
          <w:szCs w:val="28"/>
          <w:lang w:val="en-US" w:eastAsia="zh-CN"/>
        </w:rPr>
        <w:sym w:font="Wingdings" w:char="00A8"/>
      </w:r>
      <w:r>
        <w:rPr>
          <w:rFonts w:ascii="仿宋" w:hAnsi="仿宋" w:eastAsia="仿宋" w:cs="仿宋"/>
          <w:caps/>
          <w:kern w:val="0"/>
          <w:sz w:val="28"/>
          <w:szCs w:val="28"/>
          <w:lang w:val="en-US" w:eastAsia="zh-CN"/>
        </w:rPr>
        <w:t xml:space="preserve">是  </w:t>
      </w:r>
      <w:r>
        <w:rPr>
          <w:rFonts w:ascii="仿宋" w:hAnsi="仿宋" w:eastAsia="仿宋" w:cs="仿宋"/>
          <w:caps/>
          <w:kern w:val="0"/>
          <w:sz w:val="28"/>
          <w:szCs w:val="28"/>
          <w:lang w:val="en-US" w:eastAsia="zh-CN"/>
        </w:rPr>
        <w:sym w:font="Wingdings" w:char="00FE"/>
      </w:r>
      <w:r>
        <w:rPr>
          <w:rFonts w:ascii="仿宋" w:hAnsi="仿宋" w:eastAsia="仿宋" w:cs="仿宋"/>
          <w:caps/>
          <w:kern w:val="0"/>
          <w:sz w:val="28"/>
          <w:szCs w:val="28"/>
          <w:lang w:val="en-US" w:eastAsia="zh-CN"/>
        </w:rPr>
        <w:t>否</w:t>
      </w:r>
    </w:p>
    <w:p w14:paraId="31CAF70E">
      <w:pPr>
        <w:spacing w:after="0" w:line="360" w:lineRule="auto"/>
        <w:ind w:firstLine="560" w:firstLineChars="200"/>
        <w:jc w:val="left"/>
        <w:rPr>
          <w:rFonts w:ascii="仿宋" w:hAnsi="仿宋" w:eastAsia="仿宋" w:cs="仿宋"/>
          <w:caps/>
          <w:kern w:val="0"/>
          <w:sz w:val="28"/>
          <w:szCs w:val="28"/>
          <w:lang w:val="en-US" w:eastAsia="zh-CN"/>
        </w:rPr>
      </w:pPr>
      <w:r>
        <w:rPr>
          <w:rFonts w:ascii="仿宋" w:hAnsi="仿宋" w:eastAsia="仿宋" w:cs="仿宋"/>
          <w:caps/>
          <w:kern w:val="0"/>
          <w:sz w:val="28"/>
          <w:szCs w:val="28"/>
          <w:lang w:val="en-US" w:eastAsia="zh-CN"/>
        </w:rPr>
        <w:t>是否邀请第三方检测机构参加验收：</w:t>
      </w:r>
      <w:r>
        <w:rPr>
          <w:rFonts w:ascii="仿宋" w:hAnsi="仿宋" w:eastAsia="仿宋" w:cs="仿宋"/>
          <w:caps/>
          <w:kern w:val="0"/>
          <w:sz w:val="28"/>
          <w:szCs w:val="28"/>
          <w:lang w:val="en-US" w:eastAsia="zh-CN"/>
        </w:rPr>
        <w:sym w:font="Wingdings" w:char="00A8"/>
      </w:r>
      <w:r>
        <w:rPr>
          <w:rFonts w:ascii="仿宋" w:hAnsi="仿宋" w:eastAsia="仿宋" w:cs="仿宋"/>
          <w:caps/>
          <w:kern w:val="0"/>
          <w:sz w:val="28"/>
          <w:szCs w:val="28"/>
          <w:lang w:val="en-US" w:eastAsia="zh-CN"/>
        </w:rPr>
        <w:t xml:space="preserve">是  </w:t>
      </w:r>
      <w:r>
        <w:rPr>
          <w:rFonts w:ascii="仿宋" w:hAnsi="仿宋" w:eastAsia="仿宋" w:cs="仿宋"/>
          <w:caps/>
          <w:kern w:val="0"/>
          <w:sz w:val="28"/>
          <w:szCs w:val="28"/>
          <w:lang w:val="en-US" w:eastAsia="zh-CN"/>
        </w:rPr>
        <w:sym w:font="Wingdings" w:char="00FE"/>
      </w:r>
      <w:r>
        <w:rPr>
          <w:rFonts w:ascii="仿宋" w:hAnsi="仿宋" w:eastAsia="仿宋" w:cs="仿宋"/>
          <w:caps/>
          <w:kern w:val="0"/>
          <w:sz w:val="28"/>
          <w:szCs w:val="28"/>
          <w:lang w:val="en-US" w:eastAsia="zh-CN"/>
        </w:rPr>
        <w:t>否</w:t>
      </w:r>
    </w:p>
    <w:p w14:paraId="3191407A">
      <w:pPr>
        <w:spacing w:after="0" w:line="360" w:lineRule="auto"/>
        <w:ind w:firstLine="560" w:firstLineChars="200"/>
        <w:jc w:val="left"/>
        <w:rPr>
          <w:rFonts w:ascii="仿宋" w:hAnsi="仿宋" w:eastAsia="仿宋" w:cs="仿宋"/>
          <w:caps/>
          <w:kern w:val="0"/>
          <w:sz w:val="28"/>
          <w:szCs w:val="28"/>
          <w:lang w:val="en-US" w:eastAsia="zh-CN"/>
        </w:rPr>
      </w:pPr>
      <w:r>
        <w:rPr>
          <w:rFonts w:ascii="仿宋" w:hAnsi="仿宋" w:eastAsia="仿宋" w:cs="仿宋"/>
          <w:caps/>
          <w:kern w:val="0"/>
          <w:sz w:val="28"/>
          <w:szCs w:val="28"/>
          <w:lang w:val="en-US" w:eastAsia="zh-CN"/>
        </w:rPr>
        <w:t>是否进行抽查检测：</w:t>
      </w:r>
      <w:r>
        <w:rPr>
          <w:rFonts w:ascii="仿宋" w:hAnsi="仿宋" w:eastAsia="仿宋" w:cs="仿宋"/>
          <w:caps/>
          <w:kern w:val="0"/>
          <w:sz w:val="28"/>
          <w:szCs w:val="28"/>
          <w:lang w:val="en-US" w:eastAsia="zh-CN"/>
        </w:rPr>
        <w:sym w:font="Wingdings" w:char="00A8"/>
      </w:r>
      <w:r>
        <w:rPr>
          <w:rFonts w:ascii="仿宋" w:hAnsi="仿宋" w:eastAsia="仿宋" w:cs="仿宋"/>
          <w:caps/>
          <w:kern w:val="0"/>
          <w:sz w:val="28"/>
          <w:szCs w:val="28"/>
          <w:lang w:val="en-US" w:eastAsia="zh-CN"/>
        </w:rPr>
        <w:t xml:space="preserve">是，抽查比例：         </w:t>
      </w:r>
      <w:r>
        <w:rPr>
          <w:rFonts w:ascii="仿宋" w:hAnsi="仿宋" w:eastAsia="仿宋" w:cs="仿宋"/>
          <w:caps/>
          <w:kern w:val="0"/>
          <w:sz w:val="28"/>
          <w:szCs w:val="28"/>
          <w:lang w:val="en-US" w:eastAsia="zh-CN"/>
        </w:rPr>
        <w:sym w:font="Wingdings" w:char="00FE"/>
      </w:r>
      <w:r>
        <w:rPr>
          <w:rFonts w:ascii="仿宋" w:hAnsi="仿宋" w:eastAsia="仿宋" w:cs="仿宋"/>
          <w:caps/>
          <w:kern w:val="0"/>
          <w:sz w:val="28"/>
          <w:szCs w:val="28"/>
          <w:lang w:val="en-US" w:eastAsia="zh-CN"/>
        </w:rPr>
        <w:t>否</w:t>
      </w:r>
    </w:p>
    <w:p w14:paraId="435D9F8F">
      <w:pPr>
        <w:spacing w:after="0" w:line="360" w:lineRule="auto"/>
        <w:ind w:firstLine="560" w:firstLineChars="200"/>
        <w:jc w:val="left"/>
        <w:rPr>
          <w:rFonts w:ascii="仿宋" w:hAnsi="仿宋" w:eastAsia="仿宋" w:cs="仿宋"/>
          <w:caps/>
          <w:kern w:val="0"/>
          <w:sz w:val="28"/>
          <w:szCs w:val="28"/>
          <w:lang w:val="en-US" w:eastAsia="zh-CN"/>
        </w:rPr>
      </w:pPr>
      <w:r>
        <w:rPr>
          <w:rFonts w:ascii="仿宋" w:hAnsi="仿宋" w:eastAsia="仿宋" w:cs="仿宋"/>
          <w:caps/>
          <w:kern w:val="0"/>
          <w:sz w:val="28"/>
          <w:szCs w:val="28"/>
          <w:lang w:val="en-US" w:eastAsia="zh-CN"/>
        </w:rPr>
        <w:t>是否存在破坏性检测：</w:t>
      </w:r>
      <w:r>
        <w:rPr>
          <w:rFonts w:ascii="仿宋" w:hAnsi="仿宋" w:eastAsia="仿宋" w:cs="仿宋"/>
          <w:caps/>
          <w:kern w:val="0"/>
          <w:sz w:val="28"/>
          <w:szCs w:val="28"/>
          <w:lang w:val="en-US" w:eastAsia="zh-CN"/>
        </w:rPr>
        <w:sym w:font="Wingdings" w:char="00A8"/>
      </w:r>
      <w:r>
        <w:rPr>
          <w:rFonts w:ascii="仿宋" w:hAnsi="仿宋" w:eastAsia="仿宋" w:cs="仿宋"/>
          <w:caps/>
          <w:kern w:val="0"/>
          <w:sz w:val="28"/>
          <w:szCs w:val="28"/>
          <w:lang w:val="en-US" w:eastAsia="zh-CN"/>
        </w:rPr>
        <w:t>是，（应明确对被破坏的检测产品的处理方式）</w:t>
      </w:r>
    </w:p>
    <w:p w14:paraId="1C1C4F58">
      <w:pPr>
        <w:spacing w:after="0" w:line="360" w:lineRule="auto"/>
        <w:ind w:firstLine="560" w:firstLineChars="200"/>
        <w:jc w:val="left"/>
        <w:rPr>
          <w:rFonts w:ascii="仿宋" w:hAnsi="仿宋" w:eastAsia="仿宋" w:cs="仿宋"/>
          <w:caps/>
          <w:kern w:val="0"/>
          <w:sz w:val="28"/>
          <w:szCs w:val="28"/>
          <w:lang w:val="en-US" w:eastAsia="zh-CN"/>
        </w:rPr>
      </w:pPr>
      <w:r>
        <w:rPr>
          <w:rFonts w:ascii="仿宋" w:hAnsi="仿宋" w:eastAsia="仿宋" w:cs="仿宋"/>
          <w:caps/>
          <w:kern w:val="0"/>
          <w:sz w:val="28"/>
          <w:szCs w:val="28"/>
          <w:lang w:val="en-US" w:eastAsia="zh-CN"/>
        </w:rPr>
        <w:t xml:space="preserve">                    </w:t>
      </w:r>
      <w:r>
        <w:rPr>
          <w:rFonts w:ascii="仿宋" w:hAnsi="仿宋" w:eastAsia="仿宋" w:cs="仿宋"/>
          <w:caps/>
          <w:kern w:val="0"/>
          <w:sz w:val="28"/>
          <w:szCs w:val="28"/>
          <w:lang w:val="en-US" w:eastAsia="zh-CN"/>
        </w:rPr>
        <w:sym w:font="Wingdings" w:char="00FE"/>
      </w:r>
      <w:r>
        <w:rPr>
          <w:rFonts w:ascii="仿宋" w:hAnsi="仿宋" w:eastAsia="仿宋" w:cs="仿宋"/>
          <w:caps/>
          <w:kern w:val="0"/>
          <w:sz w:val="28"/>
          <w:szCs w:val="28"/>
          <w:lang w:val="en-US" w:eastAsia="zh-CN"/>
        </w:rPr>
        <w:t>否</w:t>
      </w:r>
    </w:p>
    <w:p w14:paraId="2D5A6DC1">
      <w:pPr>
        <w:spacing w:after="0" w:line="360" w:lineRule="auto"/>
        <w:ind w:firstLine="560" w:firstLineChars="200"/>
        <w:jc w:val="left"/>
        <w:rPr>
          <w:rFonts w:ascii="仿宋" w:hAnsi="仿宋" w:eastAsia="仿宋" w:cs="仿宋"/>
          <w:caps/>
          <w:kern w:val="0"/>
          <w:sz w:val="28"/>
          <w:szCs w:val="28"/>
          <w:lang w:val="en-US" w:eastAsia="zh-CN"/>
        </w:rPr>
      </w:pPr>
      <w:r>
        <w:rPr>
          <w:rFonts w:ascii="仿宋" w:hAnsi="仿宋" w:eastAsia="仿宋" w:cs="仿宋"/>
          <w:caps/>
          <w:kern w:val="0"/>
          <w:sz w:val="28"/>
          <w:szCs w:val="28"/>
          <w:lang w:val="en-US" w:eastAsia="zh-CN"/>
        </w:rPr>
        <w:t xml:space="preserve">验收组织的其他事项：                </w:t>
      </w:r>
    </w:p>
    <w:p w14:paraId="625153FB">
      <w:pPr>
        <w:spacing w:after="0" w:line="360" w:lineRule="auto"/>
        <w:ind w:firstLine="560" w:firstLineChars="200"/>
        <w:jc w:val="left"/>
        <w:rPr>
          <w:rFonts w:ascii="仿宋" w:hAnsi="仿宋" w:eastAsia="仿宋" w:cs="仿宋"/>
          <w:caps/>
          <w:kern w:val="0"/>
          <w:sz w:val="28"/>
          <w:szCs w:val="28"/>
          <w:lang w:val="en-US" w:eastAsia="zh-CN"/>
        </w:rPr>
      </w:pPr>
      <w:r>
        <w:rPr>
          <w:rFonts w:ascii="仿宋" w:hAnsi="仿宋" w:eastAsia="仿宋" w:cs="仿宋"/>
          <w:caps/>
          <w:kern w:val="0"/>
          <w:sz w:val="28"/>
          <w:szCs w:val="28"/>
          <w:lang w:val="en-US" w:eastAsia="zh-CN"/>
        </w:rPr>
        <w:t>（2）履约验收时间：</w:t>
      </w:r>
      <w:r>
        <w:rPr>
          <w:rFonts w:ascii="仿宋" w:hAnsi="仿宋" w:eastAsia="仿宋" w:cs="仿宋"/>
          <w:caps/>
          <w:kern w:val="0"/>
          <w:sz w:val="28"/>
          <w:szCs w:val="28"/>
          <w:u w:val="single"/>
          <w:lang w:val="en-US" w:eastAsia="zh-CN"/>
        </w:rPr>
        <w:t xml:space="preserve">  供应商提出验收申请之日起 7个工作日内组织验收</w:t>
      </w:r>
      <w:r>
        <w:rPr>
          <w:rFonts w:ascii="仿宋" w:hAnsi="仿宋" w:eastAsia="仿宋" w:cs="仿宋"/>
          <w:caps/>
          <w:kern w:val="0"/>
          <w:sz w:val="28"/>
          <w:szCs w:val="28"/>
          <w:lang w:val="en-US" w:eastAsia="zh-CN"/>
        </w:rPr>
        <w:t xml:space="preserve">  </w:t>
      </w:r>
    </w:p>
    <w:p w14:paraId="2DA02D39">
      <w:pPr>
        <w:spacing w:after="0" w:line="360" w:lineRule="auto"/>
        <w:ind w:firstLine="560" w:firstLineChars="200"/>
        <w:jc w:val="left"/>
        <w:rPr>
          <w:rFonts w:ascii="仿宋" w:hAnsi="仿宋" w:eastAsia="仿宋" w:cs="仿宋"/>
          <w:caps/>
          <w:kern w:val="0"/>
          <w:sz w:val="28"/>
          <w:szCs w:val="28"/>
          <w:lang w:val="en-US" w:eastAsia="zh-CN"/>
        </w:rPr>
      </w:pPr>
      <w:r>
        <w:rPr>
          <w:rFonts w:ascii="仿宋" w:hAnsi="仿宋" w:eastAsia="仿宋" w:cs="仿宋"/>
          <w:caps/>
          <w:kern w:val="0"/>
          <w:sz w:val="28"/>
          <w:szCs w:val="28"/>
          <w:lang w:val="en-US" w:eastAsia="zh-CN"/>
        </w:rPr>
        <w:t>（3）履约验收方式：</w:t>
      </w:r>
      <w:r>
        <w:rPr>
          <w:rFonts w:ascii="仿宋" w:hAnsi="仿宋" w:eastAsia="仿宋" w:cs="仿宋"/>
          <w:caps/>
          <w:kern w:val="0"/>
          <w:sz w:val="28"/>
          <w:szCs w:val="28"/>
          <w:lang w:val="en-US" w:eastAsia="zh-CN"/>
        </w:rPr>
        <w:sym w:font="Wingdings" w:char="00A8"/>
      </w:r>
      <w:r>
        <w:rPr>
          <w:rFonts w:ascii="仿宋" w:hAnsi="仿宋" w:eastAsia="仿宋" w:cs="仿宋"/>
          <w:caps/>
          <w:kern w:val="0"/>
          <w:sz w:val="28"/>
          <w:szCs w:val="28"/>
          <w:lang w:val="en-US" w:eastAsia="zh-CN"/>
        </w:rPr>
        <w:t xml:space="preserve">一次性验收         </w:t>
      </w:r>
    </w:p>
    <w:p w14:paraId="3722BB3D">
      <w:pPr>
        <w:spacing w:after="0" w:line="360" w:lineRule="auto"/>
        <w:ind w:firstLine="560" w:firstLineChars="200"/>
        <w:jc w:val="left"/>
        <w:rPr>
          <w:rFonts w:ascii="仿宋" w:hAnsi="仿宋" w:eastAsia="仿宋" w:cs="仿宋"/>
          <w:caps/>
          <w:kern w:val="0"/>
          <w:sz w:val="28"/>
          <w:szCs w:val="28"/>
          <w:u w:val="single"/>
          <w:lang w:val="en-US" w:eastAsia="zh-CN"/>
        </w:rPr>
      </w:pPr>
      <w:r>
        <w:rPr>
          <w:rFonts w:ascii="仿宋" w:hAnsi="仿宋" w:eastAsia="仿宋" w:cs="仿宋"/>
          <w:caps/>
          <w:kern w:val="0"/>
          <w:sz w:val="28"/>
          <w:szCs w:val="28"/>
          <w:lang w:val="en-US" w:eastAsia="zh-CN"/>
        </w:rPr>
        <w:t xml:space="preserve">                   </w:t>
      </w:r>
      <w:r>
        <w:rPr>
          <w:rFonts w:ascii="仿宋" w:hAnsi="仿宋" w:eastAsia="仿宋" w:cs="仿宋"/>
          <w:caps/>
          <w:kern w:val="0"/>
          <w:sz w:val="28"/>
          <w:szCs w:val="28"/>
          <w:lang w:val="en-US" w:eastAsia="zh-CN"/>
        </w:rPr>
        <w:sym w:font="Wingdings" w:char="00FE"/>
      </w:r>
      <w:r>
        <w:rPr>
          <w:rFonts w:ascii="仿宋" w:hAnsi="仿宋" w:eastAsia="仿宋" w:cs="仿宋"/>
          <w:caps/>
          <w:kern w:val="0"/>
          <w:sz w:val="28"/>
          <w:szCs w:val="28"/>
          <w:lang w:val="en-US" w:eastAsia="zh-CN"/>
        </w:rPr>
        <w:t xml:space="preserve">分期/分项验收： </w:t>
      </w:r>
      <w:r>
        <w:rPr>
          <w:rFonts w:ascii="仿宋" w:hAnsi="仿宋" w:eastAsia="仿宋" w:cs="仿宋"/>
          <w:caps/>
          <w:kern w:val="0"/>
          <w:sz w:val="28"/>
          <w:szCs w:val="28"/>
          <w:u w:val="single"/>
          <w:lang w:val="en-US" w:eastAsia="zh-CN"/>
        </w:rPr>
        <w:t>分</w:t>
      </w:r>
      <w:r>
        <w:rPr>
          <w:rFonts w:hint="eastAsia" w:ascii="仿宋" w:hAnsi="仿宋" w:eastAsia="仿宋" w:cs="仿宋"/>
          <w:caps/>
          <w:kern w:val="0"/>
          <w:sz w:val="28"/>
          <w:szCs w:val="28"/>
          <w:u w:val="single"/>
          <w:lang w:val="en-US" w:eastAsia="zh-CN"/>
        </w:rPr>
        <w:t>两</w:t>
      </w:r>
      <w:r>
        <w:rPr>
          <w:rFonts w:ascii="仿宋" w:hAnsi="仿宋" w:eastAsia="仿宋" w:cs="仿宋"/>
          <w:caps/>
          <w:kern w:val="0"/>
          <w:sz w:val="28"/>
          <w:szCs w:val="28"/>
          <w:u w:val="single"/>
          <w:lang w:val="en-US" w:eastAsia="zh-CN"/>
        </w:rPr>
        <w:t xml:space="preserve">阶段进行验收：到货验收、项目终验 </w:t>
      </w:r>
      <w:r>
        <w:rPr>
          <w:rFonts w:hint="eastAsia" w:ascii="仿宋" w:hAnsi="仿宋" w:eastAsia="仿宋" w:cs="仿宋"/>
          <w:caps/>
          <w:kern w:val="0"/>
          <w:sz w:val="28"/>
          <w:szCs w:val="28"/>
          <w:u w:val="single"/>
          <w:lang w:val="en-US" w:eastAsia="zh-CN"/>
        </w:rPr>
        <w:t>。</w:t>
      </w:r>
    </w:p>
    <w:p w14:paraId="6B4394D0">
      <w:pPr>
        <w:spacing w:after="0" w:line="360" w:lineRule="auto"/>
        <w:ind w:firstLine="560" w:firstLineChars="200"/>
        <w:jc w:val="left"/>
        <w:rPr>
          <w:rFonts w:ascii="仿宋" w:hAnsi="仿宋" w:eastAsia="仿宋" w:cs="仿宋"/>
          <w:caps/>
          <w:kern w:val="0"/>
          <w:sz w:val="28"/>
          <w:szCs w:val="28"/>
          <w:lang w:val="en-US" w:eastAsia="zh-CN"/>
        </w:rPr>
      </w:pPr>
      <w:r>
        <w:rPr>
          <w:rFonts w:ascii="仿宋" w:hAnsi="仿宋" w:eastAsia="仿宋" w:cs="仿宋"/>
          <w:caps/>
          <w:kern w:val="0"/>
          <w:sz w:val="28"/>
          <w:szCs w:val="28"/>
          <w:lang w:val="en-US" w:eastAsia="zh-CN"/>
        </w:rPr>
        <w:t xml:space="preserve">（4）履约验收程序： </w:t>
      </w:r>
      <w:r>
        <w:rPr>
          <w:rFonts w:ascii="仿宋" w:hAnsi="仿宋" w:eastAsia="仿宋" w:cs="仿宋"/>
          <w:caps/>
          <w:kern w:val="0"/>
          <w:sz w:val="28"/>
          <w:szCs w:val="28"/>
          <w:u w:val="single"/>
          <w:lang w:val="en-US" w:eastAsia="zh-CN"/>
        </w:rPr>
        <w:t xml:space="preserve">  </w:t>
      </w:r>
      <w:r>
        <w:rPr>
          <w:rFonts w:hint="eastAsia" w:ascii="仿宋" w:hAnsi="仿宋" w:eastAsia="仿宋" w:cs="仿宋"/>
          <w:caps/>
          <w:kern w:val="0"/>
          <w:sz w:val="28"/>
          <w:szCs w:val="28"/>
          <w:u w:val="single"/>
          <w:lang w:val="en-US" w:eastAsia="zh-CN"/>
        </w:rPr>
        <w:t xml:space="preserve">分两阶段进行验收，货物到场并开箱采购人验收，组织专家进行项目终验。   </w:t>
      </w:r>
      <w:r>
        <w:rPr>
          <w:rFonts w:ascii="仿宋" w:hAnsi="仿宋" w:eastAsia="仿宋" w:cs="仿宋"/>
          <w:caps/>
          <w:kern w:val="0"/>
          <w:sz w:val="28"/>
          <w:szCs w:val="28"/>
          <w:u w:val="single"/>
          <w:lang w:val="en-US" w:eastAsia="zh-CN"/>
        </w:rPr>
        <w:t xml:space="preserve"> </w:t>
      </w:r>
      <w:r>
        <w:rPr>
          <w:rFonts w:ascii="仿宋" w:hAnsi="仿宋" w:eastAsia="仿宋" w:cs="仿宋"/>
          <w:caps/>
          <w:kern w:val="0"/>
          <w:sz w:val="28"/>
          <w:szCs w:val="28"/>
          <w:lang w:val="en-US" w:eastAsia="zh-CN"/>
        </w:rPr>
        <w:t xml:space="preserve">          </w:t>
      </w:r>
    </w:p>
    <w:p w14:paraId="36E8DDE8">
      <w:pPr>
        <w:spacing w:line="360" w:lineRule="auto"/>
        <w:ind w:firstLine="560" w:firstLineChars="200"/>
        <w:jc w:val="left"/>
        <w:rPr>
          <w:rFonts w:ascii="仿宋" w:hAnsi="仿宋" w:eastAsia="仿宋" w:cs="仿宋"/>
          <w:caps/>
          <w:kern w:val="0"/>
          <w:sz w:val="28"/>
          <w:szCs w:val="28"/>
          <w:lang w:val="en-US" w:eastAsia="zh-CN"/>
        </w:rPr>
      </w:pPr>
      <w:r>
        <w:rPr>
          <w:rFonts w:ascii="仿宋" w:hAnsi="仿宋" w:eastAsia="仿宋" w:cs="仿宋"/>
          <w:caps/>
          <w:kern w:val="0"/>
          <w:sz w:val="28"/>
          <w:szCs w:val="28"/>
          <w:lang w:val="en-US" w:eastAsia="zh-CN"/>
        </w:rPr>
        <w:t>（5）履约验收的内容：</w:t>
      </w:r>
      <w:r>
        <w:rPr>
          <w:rFonts w:hint="eastAsia" w:ascii="仿宋" w:hAnsi="仿宋" w:eastAsia="仿宋" w:cs="仿宋"/>
          <w:caps/>
          <w:kern w:val="0"/>
          <w:sz w:val="28"/>
          <w:szCs w:val="28"/>
          <w:u w:val="single"/>
          <w:lang w:val="en-US" w:eastAsia="zh-CN"/>
        </w:rPr>
        <w:t xml:space="preserve">（应当包括每一项技术和商务要求的履约情况，特别是落实政府采购扶持中小企业，支持绿色发展等政策情况） </w:t>
      </w:r>
      <w:r>
        <w:rPr>
          <w:rFonts w:hint="eastAsia" w:ascii="仿宋" w:hAnsi="仿宋" w:eastAsia="仿宋" w:cs="仿宋"/>
          <w:caps/>
          <w:kern w:val="0"/>
          <w:sz w:val="28"/>
          <w:szCs w:val="28"/>
          <w:lang w:val="en-US" w:eastAsia="zh-CN"/>
        </w:rPr>
        <w:t xml:space="preserve">          </w:t>
      </w:r>
      <w:r>
        <w:rPr>
          <w:rFonts w:ascii="仿宋" w:hAnsi="仿宋" w:eastAsia="仿宋" w:cs="仿宋"/>
          <w:caps/>
          <w:kern w:val="0"/>
          <w:sz w:val="28"/>
          <w:szCs w:val="28"/>
          <w:lang w:val="en-US" w:eastAsia="zh-CN"/>
        </w:rPr>
        <w:t xml:space="preserve">         </w:t>
      </w:r>
    </w:p>
    <w:p w14:paraId="014F758A">
      <w:pPr>
        <w:spacing w:line="360" w:lineRule="auto"/>
        <w:ind w:firstLine="560" w:firstLineChars="200"/>
        <w:jc w:val="left"/>
        <w:rPr>
          <w:rFonts w:ascii="仿宋" w:hAnsi="仿宋" w:eastAsia="仿宋" w:cs="仿宋"/>
          <w:caps/>
          <w:kern w:val="0"/>
          <w:sz w:val="28"/>
          <w:szCs w:val="28"/>
          <w:lang w:val="en-US" w:eastAsia="zh-CN"/>
        </w:rPr>
      </w:pPr>
      <w:r>
        <w:rPr>
          <w:rFonts w:ascii="仿宋" w:hAnsi="仿宋" w:eastAsia="仿宋" w:cs="仿宋"/>
          <w:caps/>
          <w:kern w:val="0"/>
          <w:sz w:val="28"/>
          <w:szCs w:val="28"/>
          <w:lang w:val="en-US" w:eastAsia="zh-CN"/>
        </w:rPr>
        <w:t>（6）履约验收标准：</w:t>
      </w:r>
      <w:r>
        <w:rPr>
          <w:rFonts w:hint="eastAsia" w:ascii="FangSong_GB2312" w:hAnsi="FangSong_GB2312" w:eastAsia="FangSong_GB2312" w:cs="FangSong_GB2312"/>
          <w:color w:val="auto"/>
          <w:sz w:val="28"/>
          <w:szCs w:val="28"/>
          <w:highlight w:val="none"/>
          <w:u w:val="single"/>
          <w:lang w:val="en-US" w:eastAsia="zh-CN"/>
        </w:rPr>
        <w:t>符合国家相关行业合格标准且满足采购人需求。</w:t>
      </w:r>
      <w:r>
        <w:rPr>
          <w:rFonts w:ascii="仿宋" w:hAnsi="仿宋" w:eastAsia="仿宋" w:cs="仿宋"/>
          <w:caps/>
          <w:kern w:val="0"/>
          <w:sz w:val="28"/>
          <w:szCs w:val="28"/>
          <w:lang w:val="en-US" w:eastAsia="zh-CN"/>
        </w:rPr>
        <w:t xml:space="preserve">             </w:t>
      </w:r>
    </w:p>
    <w:p w14:paraId="205B3585">
      <w:pPr>
        <w:spacing w:after="0" w:line="360" w:lineRule="auto"/>
        <w:ind w:firstLine="560" w:firstLineChars="200"/>
        <w:jc w:val="left"/>
        <w:rPr>
          <w:rFonts w:ascii="仿宋" w:hAnsi="仿宋" w:eastAsia="仿宋" w:cs="仿宋"/>
          <w:caps/>
          <w:kern w:val="0"/>
          <w:sz w:val="28"/>
          <w:szCs w:val="28"/>
          <w:lang w:val="en-US" w:eastAsia="zh-CN"/>
        </w:rPr>
      </w:pPr>
      <w:r>
        <w:rPr>
          <w:rFonts w:ascii="仿宋" w:hAnsi="仿宋" w:eastAsia="仿宋" w:cs="仿宋"/>
          <w:caps/>
          <w:kern w:val="0"/>
          <w:sz w:val="28"/>
          <w:szCs w:val="28"/>
          <w:lang w:val="en-US" w:eastAsia="zh-CN"/>
        </w:rPr>
        <w:t>（7）是否以采购活动中供应商提供的样品作为参考：</w:t>
      </w:r>
      <w:r>
        <w:rPr>
          <w:rFonts w:ascii="仿宋" w:hAnsi="仿宋" w:eastAsia="仿宋" w:cs="仿宋"/>
          <w:caps/>
          <w:kern w:val="0"/>
          <w:sz w:val="28"/>
          <w:szCs w:val="28"/>
          <w:lang w:val="en-US" w:eastAsia="zh-CN"/>
        </w:rPr>
        <w:sym w:font="Wingdings" w:char="00A8"/>
      </w:r>
      <w:r>
        <w:rPr>
          <w:rFonts w:ascii="仿宋" w:hAnsi="仿宋" w:eastAsia="仿宋" w:cs="仿宋"/>
          <w:caps/>
          <w:kern w:val="0"/>
          <w:sz w:val="28"/>
          <w:szCs w:val="28"/>
          <w:lang w:val="en-US" w:eastAsia="zh-CN"/>
        </w:rPr>
        <w:t xml:space="preserve">是  </w:t>
      </w:r>
      <w:r>
        <w:rPr>
          <w:rFonts w:ascii="仿宋" w:hAnsi="仿宋" w:eastAsia="仿宋" w:cs="仿宋"/>
          <w:caps/>
          <w:kern w:val="0"/>
          <w:sz w:val="28"/>
          <w:szCs w:val="28"/>
          <w:lang w:val="en-US" w:eastAsia="zh-CN"/>
        </w:rPr>
        <w:sym w:font="Wingdings" w:char="00FE"/>
      </w:r>
      <w:r>
        <w:rPr>
          <w:rFonts w:ascii="仿宋" w:hAnsi="仿宋" w:eastAsia="仿宋" w:cs="仿宋"/>
          <w:caps/>
          <w:kern w:val="0"/>
          <w:sz w:val="28"/>
          <w:szCs w:val="28"/>
          <w:lang w:val="en-US" w:eastAsia="zh-CN"/>
        </w:rPr>
        <w:t>否</w:t>
      </w:r>
    </w:p>
    <w:p w14:paraId="2FF19E03">
      <w:pPr>
        <w:spacing w:after="0" w:line="360" w:lineRule="auto"/>
        <w:ind w:firstLine="560" w:firstLineChars="200"/>
        <w:jc w:val="left"/>
        <w:rPr>
          <w:lang w:val="en-US" w:eastAsia="zh-CN"/>
        </w:rPr>
      </w:pPr>
      <w:r>
        <w:rPr>
          <w:rFonts w:ascii="仿宋" w:hAnsi="仿宋" w:eastAsia="仿宋" w:cs="仿宋"/>
          <w:caps/>
          <w:kern w:val="0"/>
          <w:sz w:val="28"/>
          <w:szCs w:val="28"/>
          <w:lang w:val="en-US" w:eastAsia="zh-CN"/>
        </w:rPr>
        <w:t>（8）履约验收其他事项：</w:t>
      </w:r>
      <w:r>
        <w:rPr>
          <w:rFonts w:ascii="仿宋" w:hAnsi="仿宋" w:eastAsia="仿宋" w:cs="仿宋"/>
          <w:caps/>
          <w:kern w:val="0"/>
          <w:sz w:val="28"/>
          <w:szCs w:val="28"/>
          <w:u w:val="single"/>
          <w:lang w:val="en-US" w:eastAsia="zh-CN"/>
        </w:rPr>
        <w:t xml:space="preserve">   </w:t>
      </w:r>
      <w:r>
        <w:rPr>
          <w:rFonts w:hint="eastAsia" w:ascii="仿宋" w:hAnsi="仿宋" w:eastAsia="仿宋" w:cs="仿宋"/>
          <w:caps/>
          <w:kern w:val="0"/>
          <w:sz w:val="28"/>
          <w:szCs w:val="28"/>
          <w:u w:val="single"/>
          <w:lang w:val="en-US" w:eastAsia="zh-CN"/>
        </w:rPr>
        <w:t>无</w:t>
      </w:r>
      <w:r>
        <w:rPr>
          <w:rFonts w:ascii="仿宋" w:hAnsi="仿宋" w:eastAsia="仿宋" w:cs="仿宋"/>
          <w:caps/>
          <w:kern w:val="0"/>
          <w:sz w:val="28"/>
          <w:szCs w:val="28"/>
          <w:u w:val="single"/>
          <w:lang w:val="en-US" w:eastAsia="zh-CN"/>
        </w:rPr>
        <w:t xml:space="preserve">   </w:t>
      </w:r>
      <w:r>
        <w:rPr>
          <w:rFonts w:ascii="仿宋" w:hAnsi="仿宋" w:eastAsia="仿宋" w:cs="仿宋"/>
          <w:caps/>
          <w:kern w:val="0"/>
          <w:sz w:val="28"/>
          <w:szCs w:val="28"/>
          <w:lang w:val="en-US" w:eastAsia="zh-CN"/>
        </w:rPr>
        <w:t xml:space="preserve">。                      </w:t>
      </w:r>
    </w:p>
    <w:p w14:paraId="2FBA013B">
      <w:pPr>
        <w:pStyle w:val="39"/>
        <w:spacing w:line="340" w:lineRule="exact"/>
        <w:ind w:left="0" w:leftChars="0" w:firstLine="560" w:firstLineChars="200"/>
        <w:outlineLvl w:val="1"/>
        <w:rPr>
          <w:rFonts w:ascii="黑体" w:hAnsi="黑体" w:eastAsia="黑体" w:cs="黑体"/>
          <w:color w:val="auto"/>
          <w:sz w:val="28"/>
          <w:szCs w:val="28"/>
          <w:lang w:val="en-US" w:eastAsia="zh-CN"/>
        </w:rPr>
      </w:pPr>
      <w:r>
        <w:rPr>
          <w:rFonts w:ascii="黑体" w:hAnsi="黑体" w:eastAsia="黑体" w:cs="黑体"/>
          <w:color w:val="auto"/>
          <w:sz w:val="28"/>
          <w:szCs w:val="28"/>
          <w:lang w:val="en-US" w:eastAsia="zh-CN"/>
        </w:rPr>
        <w:t xml:space="preserve">三、项目相关要求： </w:t>
      </w:r>
    </w:p>
    <w:p w14:paraId="6D50DA60">
      <w:pPr>
        <w:spacing w:line="360" w:lineRule="auto"/>
        <w:ind w:firstLine="560" w:firstLineChars="200"/>
        <w:jc w:val="left"/>
        <w:rPr>
          <w:rFonts w:ascii="仿宋" w:hAnsi="仿宋" w:eastAsia="仿宋" w:cs="仿宋"/>
          <w:caps/>
          <w:kern w:val="0"/>
          <w:sz w:val="28"/>
          <w:szCs w:val="28"/>
          <w:lang w:eastAsia="zh-CN"/>
        </w:rPr>
      </w:pPr>
      <w:r>
        <w:rPr>
          <w:rFonts w:ascii="仿宋" w:hAnsi="仿宋" w:eastAsia="仿宋" w:cs="仿宋"/>
          <w:caps/>
          <w:kern w:val="0"/>
          <w:sz w:val="28"/>
          <w:szCs w:val="28"/>
          <w:lang w:eastAsia="zh-CN"/>
        </w:rPr>
        <w:t>1．投标人可提供品质和功能相同的或优于同类产品的货物或方案。</w:t>
      </w:r>
    </w:p>
    <w:p w14:paraId="6F005DED">
      <w:pPr>
        <w:spacing w:line="360" w:lineRule="auto"/>
        <w:ind w:firstLine="560" w:firstLineChars="200"/>
        <w:jc w:val="left"/>
        <w:rPr>
          <w:rFonts w:ascii="仿宋" w:hAnsi="仿宋" w:eastAsia="仿宋" w:cs="仿宋"/>
          <w:caps/>
          <w:kern w:val="0"/>
          <w:sz w:val="28"/>
          <w:szCs w:val="28"/>
          <w:lang w:eastAsia="zh-CN"/>
        </w:rPr>
      </w:pPr>
      <w:r>
        <w:rPr>
          <w:rFonts w:ascii="仿宋" w:hAnsi="仿宋" w:eastAsia="仿宋" w:cs="仿宋"/>
          <w:caps/>
          <w:kern w:val="0"/>
          <w:sz w:val="28"/>
          <w:szCs w:val="28"/>
          <w:lang w:eastAsia="zh-CN"/>
        </w:rPr>
        <w:t>2. 检测的标准依据国家有关规定执行。</w:t>
      </w:r>
    </w:p>
    <w:p w14:paraId="41479074">
      <w:pPr>
        <w:spacing w:line="360" w:lineRule="auto"/>
        <w:ind w:firstLine="560" w:firstLineChars="200"/>
        <w:jc w:val="left"/>
        <w:rPr>
          <w:rFonts w:ascii="仿宋" w:hAnsi="仿宋" w:eastAsia="仿宋" w:cs="仿宋"/>
          <w:caps/>
          <w:kern w:val="0"/>
          <w:sz w:val="28"/>
          <w:szCs w:val="28"/>
          <w:lang w:eastAsia="zh-CN"/>
        </w:rPr>
      </w:pPr>
      <w:r>
        <w:rPr>
          <w:rFonts w:ascii="仿宋" w:hAnsi="仿宋" w:eastAsia="仿宋" w:cs="仿宋"/>
          <w:caps/>
          <w:kern w:val="0"/>
          <w:sz w:val="28"/>
          <w:szCs w:val="28"/>
          <w:lang w:eastAsia="zh-CN"/>
        </w:rPr>
        <w:t>3. 所投核心产品必须生产厂家在中国设有技术服务机构。</w:t>
      </w:r>
    </w:p>
    <w:p w14:paraId="54C03DDD">
      <w:pPr>
        <w:spacing w:line="360" w:lineRule="auto"/>
        <w:ind w:firstLine="560" w:firstLineChars="200"/>
        <w:jc w:val="left"/>
        <w:rPr>
          <w:rFonts w:ascii="仿宋" w:hAnsi="仿宋" w:eastAsia="仿宋" w:cs="仿宋"/>
          <w:caps/>
          <w:kern w:val="0"/>
          <w:sz w:val="28"/>
          <w:szCs w:val="28"/>
          <w:lang w:eastAsia="zh-CN"/>
        </w:rPr>
      </w:pPr>
      <w:r>
        <w:rPr>
          <w:rFonts w:ascii="仿宋" w:hAnsi="仿宋" w:eastAsia="仿宋" w:cs="仿宋"/>
          <w:caps/>
          <w:kern w:val="0"/>
          <w:sz w:val="28"/>
          <w:szCs w:val="28"/>
          <w:lang w:eastAsia="zh-CN"/>
        </w:rPr>
        <w:t>4．除招标文件要求提供的货物备件、专用工具和消耗品外，所有备件必须符合国家标准及行业要求。</w:t>
      </w:r>
    </w:p>
    <w:p w14:paraId="6D9DA142">
      <w:pPr>
        <w:spacing w:line="360" w:lineRule="auto"/>
        <w:ind w:firstLine="560" w:firstLineChars="200"/>
        <w:jc w:val="left"/>
        <w:rPr>
          <w:rFonts w:ascii="仿宋" w:hAnsi="仿宋" w:eastAsia="仿宋" w:cs="仿宋"/>
          <w:caps/>
          <w:kern w:val="0"/>
          <w:sz w:val="28"/>
          <w:szCs w:val="28"/>
          <w:lang w:eastAsia="zh-CN"/>
        </w:rPr>
      </w:pPr>
      <w:r>
        <w:rPr>
          <w:rFonts w:ascii="仿宋" w:hAnsi="仿宋" w:eastAsia="仿宋" w:cs="仿宋"/>
          <w:caps/>
          <w:kern w:val="0"/>
          <w:sz w:val="28"/>
          <w:szCs w:val="28"/>
          <w:lang w:eastAsia="zh-CN"/>
        </w:rPr>
        <w:t>5.本次采购货物中如果某些技术标准与国家所要求的标准不统一或有不兼容的地方，均以国家强制性标准或最新出台的标准为准。</w:t>
      </w:r>
    </w:p>
    <w:p w14:paraId="75DBAC56">
      <w:pPr>
        <w:spacing w:line="360" w:lineRule="auto"/>
        <w:ind w:firstLine="560" w:firstLineChars="200"/>
        <w:jc w:val="left"/>
        <w:rPr>
          <w:rFonts w:ascii="仿宋" w:hAnsi="仿宋" w:eastAsia="仿宋" w:cs="仿宋"/>
          <w:caps/>
          <w:kern w:val="0"/>
          <w:sz w:val="28"/>
          <w:szCs w:val="28"/>
          <w:lang w:eastAsia="zh-CN"/>
        </w:rPr>
      </w:pPr>
      <w:r>
        <w:rPr>
          <w:rFonts w:ascii="仿宋" w:hAnsi="仿宋" w:eastAsia="仿宋" w:cs="仿宋"/>
          <w:caps/>
          <w:kern w:val="0"/>
          <w:sz w:val="28"/>
          <w:szCs w:val="28"/>
          <w:lang w:eastAsia="zh-CN"/>
        </w:rPr>
        <w:t>6.如果未在招标文件中要求提供其相关行业标准或国家强制性标准的，则投标人可给予补充说明。</w:t>
      </w:r>
    </w:p>
    <w:p w14:paraId="5E1054B6">
      <w:pPr>
        <w:spacing w:line="360" w:lineRule="auto"/>
        <w:ind w:firstLine="560" w:firstLineChars="200"/>
        <w:jc w:val="left"/>
        <w:rPr>
          <w:rFonts w:ascii="仿宋" w:hAnsi="仿宋" w:eastAsia="仿宋" w:cs="仿宋"/>
          <w:caps/>
          <w:color w:val="auto"/>
          <w:kern w:val="0"/>
          <w:sz w:val="28"/>
          <w:szCs w:val="28"/>
          <w:lang w:val="en-US" w:eastAsia="zh-CN"/>
        </w:rPr>
      </w:pPr>
      <w:r>
        <w:rPr>
          <w:rFonts w:ascii="仿宋" w:hAnsi="仿宋" w:eastAsia="仿宋" w:cs="仿宋"/>
          <w:caps/>
          <w:color w:val="auto"/>
          <w:kern w:val="0"/>
          <w:sz w:val="28"/>
          <w:szCs w:val="28"/>
          <w:lang w:val="en-US" w:eastAsia="zh-CN"/>
        </w:rPr>
        <w:t>7、本项目为助力打好污染防治攻坚战，推广使用绿色包装，所有商品包装符合《商品包装政府采购需求标准（试行）》、快递包装符合《快递包装政府采购需求标准（试行）》要求的，投标人应提供相关承诺函予以响应。</w:t>
      </w:r>
    </w:p>
    <w:p w14:paraId="548E7639">
      <w:pPr>
        <w:spacing w:line="360" w:lineRule="auto"/>
        <w:ind w:firstLine="560" w:firstLineChars="200"/>
        <w:jc w:val="left"/>
        <w:rPr>
          <w:rFonts w:ascii="仿宋" w:hAnsi="仿宋" w:eastAsia="仿宋" w:cs="仿宋"/>
          <w:caps/>
          <w:kern w:val="0"/>
          <w:sz w:val="28"/>
          <w:szCs w:val="28"/>
          <w:lang w:eastAsia="zh-CN"/>
        </w:rPr>
      </w:pPr>
      <w:r>
        <w:rPr>
          <w:rFonts w:ascii="仿宋" w:hAnsi="仿宋" w:eastAsia="仿宋" w:cs="仿宋"/>
          <w:caps/>
          <w:kern w:val="0"/>
          <w:sz w:val="28"/>
          <w:szCs w:val="28"/>
          <w:lang w:val="en-US" w:eastAsia="zh-CN"/>
        </w:rPr>
        <w:t>8</w:t>
      </w:r>
      <w:r>
        <w:rPr>
          <w:rFonts w:ascii="仿宋" w:hAnsi="仿宋" w:eastAsia="仿宋" w:cs="仿宋"/>
          <w:caps/>
          <w:kern w:val="0"/>
          <w:sz w:val="28"/>
          <w:szCs w:val="28"/>
          <w:lang w:eastAsia="zh-CN"/>
        </w:rPr>
        <w:t>、质量保证：</w:t>
      </w:r>
      <w:r>
        <w:rPr>
          <w:rFonts w:ascii="仿宋" w:hAnsi="仿宋" w:eastAsia="仿宋" w:cs="仿宋"/>
          <w:caps/>
          <w:kern w:val="0"/>
          <w:sz w:val="28"/>
          <w:szCs w:val="28"/>
          <w:lang w:val="en-US" w:eastAsia="zh-CN"/>
        </w:rPr>
        <w:t>3</w:t>
      </w:r>
      <w:r>
        <w:rPr>
          <w:rFonts w:ascii="仿宋" w:hAnsi="仿宋" w:eastAsia="仿宋" w:cs="仿宋"/>
          <w:caps/>
          <w:kern w:val="0"/>
          <w:sz w:val="28"/>
          <w:szCs w:val="28"/>
          <w:lang w:eastAsia="zh-CN"/>
        </w:rPr>
        <w:t>年（</w:t>
      </w:r>
      <w:r>
        <w:rPr>
          <w:rFonts w:ascii="仿宋" w:hAnsi="仿宋" w:eastAsia="仿宋" w:cs="仿宋"/>
          <w:caps/>
          <w:kern w:val="0"/>
          <w:sz w:val="28"/>
          <w:szCs w:val="28"/>
          <w:lang w:val="en-US" w:eastAsia="zh-CN"/>
        </w:rPr>
        <w:t>以投标文件为准</w:t>
      </w:r>
      <w:r>
        <w:rPr>
          <w:rFonts w:ascii="仿宋" w:hAnsi="仿宋" w:eastAsia="仿宋" w:cs="仿宋"/>
          <w:caps/>
          <w:kern w:val="0"/>
          <w:sz w:val="28"/>
          <w:szCs w:val="28"/>
          <w:lang w:eastAsia="zh-CN"/>
        </w:rPr>
        <w:t>），从验收合格之日起开始计算。</w:t>
      </w:r>
    </w:p>
    <w:p w14:paraId="18A15F2C">
      <w:pPr>
        <w:spacing w:line="360" w:lineRule="auto"/>
        <w:ind w:firstLine="560" w:firstLineChars="200"/>
        <w:jc w:val="left"/>
        <w:rPr>
          <w:rFonts w:ascii="仿宋" w:hAnsi="仿宋" w:eastAsia="仿宋" w:cs="仿宋"/>
          <w:caps/>
          <w:kern w:val="0"/>
          <w:sz w:val="28"/>
          <w:szCs w:val="28"/>
          <w:lang w:eastAsia="zh-CN"/>
        </w:rPr>
      </w:pPr>
      <w:r>
        <w:rPr>
          <w:rFonts w:ascii="仿宋" w:hAnsi="仿宋" w:eastAsia="仿宋" w:cs="仿宋"/>
          <w:caps/>
          <w:kern w:val="0"/>
          <w:sz w:val="28"/>
          <w:szCs w:val="28"/>
          <w:lang w:val="en-US" w:eastAsia="zh-CN"/>
        </w:rPr>
        <w:t>9</w:t>
      </w:r>
      <w:r>
        <w:rPr>
          <w:rFonts w:ascii="仿宋" w:hAnsi="仿宋" w:eastAsia="仿宋" w:cs="仿宋"/>
          <w:caps/>
          <w:kern w:val="0"/>
          <w:sz w:val="28"/>
          <w:szCs w:val="28"/>
          <w:lang w:eastAsia="zh-CN"/>
        </w:rPr>
        <w:t>、售后服务及保修</w:t>
      </w:r>
    </w:p>
    <w:p w14:paraId="6C2CE0CD">
      <w:pPr>
        <w:spacing w:line="360" w:lineRule="auto"/>
        <w:ind w:firstLine="560" w:firstLineChars="200"/>
        <w:jc w:val="left"/>
        <w:rPr>
          <w:rFonts w:ascii="仿宋" w:hAnsi="仿宋" w:eastAsia="仿宋" w:cs="仿宋"/>
          <w:caps/>
          <w:kern w:val="0"/>
          <w:sz w:val="28"/>
          <w:szCs w:val="28"/>
          <w:lang w:eastAsia="zh-CN"/>
        </w:rPr>
      </w:pPr>
      <w:r>
        <w:rPr>
          <w:rFonts w:ascii="仿宋" w:hAnsi="仿宋" w:eastAsia="仿宋" w:cs="仿宋"/>
          <w:caps/>
          <w:kern w:val="0"/>
          <w:sz w:val="28"/>
          <w:szCs w:val="28"/>
          <w:lang w:val="en-US" w:eastAsia="zh-CN"/>
        </w:rPr>
        <w:t>9</w:t>
      </w:r>
      <w:r>
        <w:rPr>
          <w:rFonts w:ascii="仿宋" w:hAnsi="仿宋" w:eastAsia="仿宋" w:cs="仿宋"/>
          <w:caps/>
          <w:kern w:val="0"/>
          <w:sz w:val="28"/>
          <w:szCs w:val="28"/>
          <w:lang w:eastAsia="zh-CN"/>
        </w:rPr>
        <w:t>.</w:t>
      </w:r>
      <w:r>
        <w:rPr>
          <w:rFonts w:ascii="仿宋" w:hAnsi="仿宋" w:eastAsia="仿宋" w:cs="仿宋"/>
          <w:caps/>
          <w:kern w:val="0"/>
          <w:sz w:val="28"/>
          <w:szCs w:val="28"/>
          <w:lang w:val="en-US" w:eastAsia="zh-CN"/>
        </w:rPr>
        <w:t xml:space="preserve">1 </w:t>
      </w:r>
      <w:r>
        <w:rPr>
          <w:rFonts w:ascii="仿宋" w:hAnsi="仿宋" w:eastAsia="仿宋" w:cs="仿宋"/>
          <w:caps/>
          <w:kern w:val="0"/>
          <w:sz w:val="28"/>
          <w:szCs w:val="28"/>
          <w:lang w:eastAsia="zh-CN"/>
        </w:rPr>
        <w:t>在质保期或保修期内，提供运维服务，凡正常使用出现故障，投标人应提供免费维修，并负担维修过程中的费用。</w:t>
      </w:r>
    </w:p>
    <w:p w14:paraId="74A9DF5E">
      <w:pPr>
        <w:spacing w:line="360" w:lineRule="auto"/>
        <w:ind w:firstLine="560" w:firstLineChars="200"/>
        <w:jc w:val="left"/>
        <w:rPr>
          <w:rFonts w:ascii="仿宋" w:hAnsi="仿宋" w:eastAsia="仿宋" w:cs="仿宋"/>
          <w:caps/>
          <w:kern w:val="0"/>
          <w:sz w:val="28"/>
          <w:szCs w:val="28"/>
          <w:lang w:eastAsia="zh-CN"/>
        </w:rPr>
      </w:pPr>
      <w:r>
        <w:rPr>
          <w:rFonts w:ascii="仿宋" w:hAnsi="仿宋" w:eastAsia="仿宋" w:cs="仿宋"/>
          <w:caps/>
          <w:kern w:val="0"/>
          <w:sz w:val="28"/>
          <w:szCs w:val="28"/>
          <w:lang w:val="en-US" w:eastAsia="zh-CN"/>
        </w:rPr>
        <w:t>9</w:t>
      </w:r>
      <w:r>
        <w:rPr>
          <w:rFonts w:ascii="仿宋" w:hAnsi="仿宋" w:eastAsia="仿宋" w:cs="仿宋"/>
          <w:caps/>
          <w:kern w:val="0"/>
          <w:sz w:val="28"/>
          <w:szCs w:val="28"/>
          <w:lang w:eastAsia="zh-CN"/>
        </w:rPr>
        <w:t>.</w:t>
      </w:r>
      <w:r>
        <w:rPr>
          <w:rFonts w:ascii="仿宋" w:hAnsi="仿宋" w:eastAsia="仿宋" w:cs="仿宋"/>
          <w:caps/>
          <w:kern w:val="0"/>
          <w:sz w:val="28"/>
          <w:szCs w:val="28"/>
          <w:lang w:val="en-US" w:eastAsia="zh-CN"/>
        </w:rPr>
        <w:t xml:space="preserve">2 </w:t>
      </w:r>
      <w:r>
        <w:rPr>
          <w:rFonts w:ascii="仿宋" w:hAnsi="仿宋" w:eastAsia="仿宋" w:cs="仿宋"/>
          <w:caps/>
          <w:kern w:val="0"/>
          <w:sz w:val="28"/>
          <w:szCs w:val="28"/>
          <w:lang w:eastAsia="zh-CN"/>
        </w:rPr>
        <w:t>投标人对</w:t>
      </w:r>
      <w:r>
        <w:rPr>
          <w:rFonts w:ascii="仿宋" w:hAnsi="仿宋" w:eastAsia="仿宋" w:cs="仿宋"/>
          <w:caps/>
          <w:kern w:val="0"/>
          <w:sz w:val="28"/>
          <w:szCs w:val="28"/>
          <w:lang w:val="en-US" w:eastAsia="zh-CN"/>
        </w:rPr>
        <w:t>3年质保期满后对质保期外的设备系统出现故障时的服务承诺及处理方法</w:t>
      </w:r>
      <w:r>
        <w:rPr>
          <w:rFonts w:ascii="仿宋" w:hAnsi="仿宋" w:eastAsia="仿宋" w:cs="仿宋"/>
          <w:caps/>
          <w:kern w:val="0"/>
          <w:sz w:val="28"/>
          <w:szCs w:val="28"/>
          <w:lang w:eastAsia="zh-CN"/>
        </w:rPr>
        <w:t>应在响应文件中明确。</w:t>
      </w:r>
    </w:p>
    <w:p w14:paraId="258941CD">
      <w:pPr>
        <w:spacing w:line="360" w:lineRule="auto"/>
        <w:ind w:firstLine="560" w:firstLineChars="200"/>
        <w:jc w:val="left"/>
        <w:rPr>
          <w:rFonts w:ascii="仿宋" w:hAnsi="仿宋" w:eastAsia="仿宋" w:cs="仿宋"/>
          <w:caps/>
          <w:kern w:val="0"/>
          <w:sz w:val="28"/>
          <w:szCs w:val="28"/>
          <w:lang w:eastAsia="zh-CN"/>
        </w:rPr>
      </w:pPr>
      <w:r>
        <w:rPr>
          <w:rFonts w:ascii="仿宋" w:hAnsi="仿宋" w:eastAsia="仿宋" w:cs="仿宋"/>
          <w:caps/>
          <w:kern w:val="0"/>
          <w:sz w:val="28"/>
          <w:szCs w:val="28"/>
          <w:lang w:val="en-US" w:eastAsia="zh-CN"/>
        </w:rPr>
        <w:t>9</w:t>
      </w:r>
      <w:r>
        <w:rPr>
          <w:rFonts w:ascii="仿宋" w:hAnsi="仿宋" w:eastAsia="仿宋" w:cs="仿宋"/>
          <w:caps/>
          <w:kern w:val="0"/>
          <w:sz w:val="28"/>
          <w:szCs w:val="28"/>
          <w:lang w:eastAsia="zh-CN"/>
        </w:rPr>
        <w:t>.</w:t>
      </w:r>
      <w:r>
        <w:rPr>
          <w:rFonts w:ascii="仿宋" w:hAnsi="仿宋" w:eastAsia="仿宋" w:cs="仿宋"/>
          <w:caps/>
          <w:kern w:val="0"/>
          <w:sz w:val="28"/>
          <w:szCs w:val="28"/>
          <w:lang w:val="en-US" w:eastAsia="zh-CN"/>
        </w:rPr>
        <w:t>3</w:t>
      </w:r>
      <w:r>
        <w:rPr>
          <w:rFonts w:ascii="仿宋" w:hAnsi="仿宋" w:eastAsia="仿宋" w:cs="仿宋"/>
          <w:caps/>
          <w:kern w:val="0"/>
          <w:sz w:val="28"/>
          <w:szCs w:val="28"/>
          <w:lang w:eastAsia="zh-CN"/>
        </w:rPr>
        <w:t>投标人若不能提供必要的服务或未能按响应时间进行维修，将视为投标人违约。</w:t>
      </w:r>
    </w:p>
    <w:p w14:paraId="1263B089">
      <w:pPr>
        <w:spacing w:line="360" w:lineRule="auto"/>
        <w:ind w:firstLine="560" w:firstLineChars="200"/>
        <w:jc w:val="left"/>
        <w:rPr>
          <w:rFonts w:ascii="仿宋" w:hAnsi="仿宋" w:eastAsia="仿宋" w:cs="仿宋"/>
          <w:caps/>
          <w:kern w:val="0"/>
          <w:sz w:val="28"/>
          <w:szCs w:val="28"/>
          <w:lang w:eastAsia="zh-CN"/>
        </w:rPr>
      </w:pPr>
      <w:r>
        <w:rPr>
          <w:rFonts w:ascii="仿宋" w:hAnsi="仿宋" w:eastAsia="仿宋" w:cs="仿宋"/>
          <w:caps/>
          <w:kern w:val="0"/>
          <w:sz w:val="28"/>
          <w:szCs w:val="28"/>
          <w:lang w:val="en-US" w:eastAsia="zh-CN"/>
        </w:rPr>
        <w:t>10</w:t>
      </w:r>
      <w:r>
        <w:rPr>
          <w:rFonts w:ascii="仿宋" w:hAnsi="仿宋" w:eastAsia="仿宋" w:cs="仿宋"/>
          <w:caps/>
          <w:kern w:val="0"/>
          <w:sz w:val="28"/>
          <w:szCs w:val="28"/>
          <w:lang w:eastAsia="zh-CN"/>
        </w:rPr>
        <w:t>.本次采购项目为交钥匙工程，所需的一切货物、材料、</w:t>
      </w:r>
      <w:r>
        <w:rPr>
          <w:rFonts w:ascii="仿宋" w:hAnsi="仿宋" w:eastAsia="仿宋" w:cs="仿宋"/>
          <w:caps/>
          <w:kern w:val="0"/>
          <w:sz w:val="28"/>
          <w:szCs w:val="28"/>
          <w:lang w:val="en-US" w:eastAsia="zh-CN"/>
        </w:rPr>
        <w:t>迁移、</w:t>
      </w:r>
      <w:r>
        <w:rPr>
          <w:rFonts w:ascii="仿宋" w:hAnsi="仿宋" w:eastAsia="仿宋" w:cs="仿宋"/>
          <w:caps/>
          <w:kern w:val="0"/>
          <w:sz w:val="28"/>
          <w:szCs w:val="28"/>
          <w:lang w:eastAsia="zh-CN"/>
        </w:rPr>
        <w:t>安装、</w:t>
      </w:r>
      <w:r>
        <w:rPr>
          <w:rFonts w:ascii="仿宋" w:hAnsi="仿宋" w:eastAsia="仿宋" w:cs="仿宋"/>
          <w:caps/>
          <w:kern w:val="0"/>
          <w:sz w:val="28"/>
          <w:szCs w:val="28"/>
          <w:lang w:val="en-US" w:eastAsia="zh-CN"/>
        </w:rPr>
        <w:t>联调、适配、试运行、验收、</w:t>
      </w:r>
      <w:r>
        <w:rPr>
          <w:rFonts w:ascii="仿宋" w:hAnsi="仿宋" w:eastAsia="仿宋" w:cs="仿宋"/>
          <w:caps/>
          <w:kern w:val="0"/>
          <w:sz w:val="28"/>
          <w:szCs w:val="28"/>
          <w:lang w:eastAsia="zh-CN"/>
        </w:rPr>
        <w:t>税金等相关费用，须全部包含在响应报价之中。</w:t>
      </w:r>
    </w:p>
    <w:p w14:paraId="40974E98">
      <w:pPr>
        <w:spacing w:line="480" w:lineRule="exact"/>
        <w:ind w:firstLine="560" w:firstLineChars="200"/>
        <w:jc w:val="left"/>
        <w:rPr>
          <w:rFonts w:ascii="仿宋_GB2312" w:hAnsi="仿宋_GB2312" w:eastAsia="仿宋_GB2312" w:cs="仿宋_GB2312"/>
          <w:caps/>
          <w:kern w:val="0"/>
          <w:sz w:val="28"/>
          <w:szCs w:val="28"/>
          <w:lang w:val="en-US" w:eastAsia="zh-CN"/>
        </w:rPr>
      </w:pPr>
      <w:r>
        <w:rPr>
          <w:rFonts w:ascii="仿宋" w:hAnsi="仿宋" w:eastAsia="仿宋" w:cs="仿宋"/>
          <w:caps/>
          <w:kern w:val="0"/>
          <w:sz w:val="28"/>
          <w:szCs w:val="28"/>
          <w:lang w:val="en-US" w:eastAsia="zh-CN"/>
        </w:rPr>
        <w:t>11.</w:t>
      </w:r>
      <w:r>
        <w:rPr>
          <w:rFonts w:ascii="仿宋_GB2312" w:hAnsi="仿宋_GB2312" w:eastAsia="仿宋_GB2312" w:cs="仿宋_GB2312"/>
          <w:caps/>
          <w:kern w:val="0"/>
          <w:sz w:val="28"/>
          <w:szCs w:val="28"/>
          <w:lang w:val="en-US" w:eastAsia="zh-CN"/>
        </w:rPr>
        <w:t>采购内容及技术规格要求中，所描述的技术参数，如有与某产品的指标或参数描述相同，并非特指，仅为产品质量、档次、水平的参照。投标人所投产品应等同或相当于或高于采购文件所描述的技术要求。</w:t>
      </w:r>
    </w:p>
    <w:p w14:paraId="4E383979">
      <w:pPr>
        <w:spacing w:line="360" w:lineRule="auto"/>
        <w:ind w:firstLine="560" w:firstLineChars="200"/>
        <w:jc w:val="left"/>
        <w:rPr>
          <w:rFonts w:ascii="仿宋" w:hAnsi="仿宋" w:eastAsia="仿宋" w:cs="仿宋"/>
          <w:caps/>
          <w:kern w:val="0"/>
          <w:sz w:val="28"/>
          <w:szCs w:val="28"/>
          <w:lang w:val="en-US" w:eastAsia="zh-CN"/>
        </w:rPr>
      </w:pPr>
      <w:r>
        <w:rPr>
          <w:rFonts w:ascii="仿宋" w:hAnsi="仿宋" w:eastAsia="仿宋" w:cs="仿宋"/>
          <w:caps/>
          <w:kern w:val="0"/>
          <w:sz w:val="28"/>
          <w:szCs w:val="28"/>
          <w:lang w:val="en-US" w:eastAsia="zh-CN"/>
        </w:rPr>
        <w:t>12.提供投标人2021年1月1日以来（以合同签订时间为准）的类似项目业绩。</w:t>
      </w:r>
    </w:p>
    <w:p w14:paraId="204597F7">
      <w:pPr>
        <w:spacing w:line="360" w:lineRule="auto"/>
        <w:ind w:firstLine="560" w:firstLineChars="200"/>
        <w:jc w:val="left"/>
        <w:rPr>
          <w:rFonts w:ascii="仿宋" w:hAnsi="仿宋" w:eastAsia="仿宋" w:cs="仿宋"/>
          <w:caps/>
          <w:kern w:val="0"/>
          <w:sz w:val="28"/>
          <w:szCs w:val="28"/>
          <w:lang w:val="en-US" w:eastAsia="zh-CN"/>
        </w:rPr>
      </w:pPr>
      <w:r>
        <w:rPr>
          <w:rFonts w:ascii="仿宋" w:hAnsi="仿宋" w:eastAsia="仿宋" w:cs="仿宋"/>
          <w:caps/>
          <w:kern w:val="0"/>
          <w:sz w:val="28"/>
          <w:szCs w:val="28"/>
          <w:lang w:val="en-US" w:eastAsia="zh-CN"/>
        </w:rPr>
        <w:t>13.投标人提供项目实施方案的详细措施及具体方案（包括项目施工计划、组织管理机构、项目工期保障措施、质量保障措施等内容），评标委员会根据详细措施及具体方案是否科学合理、是否完整详尽、是否全面可靠等情况进行评审。</w:t>
      </w:r>
    </w:p>
    <w:p w14:paraId="5C6D606C">
      <w:pPr>
        <w:spacing w:line="360" w:lineRule="auto"/>
        <w:ind w:firstLine="560" w:firstLineChars="200"/>
        <w:jc w:val="left"/>
        <w:rPr>
          <w:rFonts w:ascii="仿宋" w:hAnsi="仿宋" w:eastAsia="仿宋" w:cs="仿宋"/>
          <w:caps/>
          <w:kern w:val="0"/>
          <w:sz w:val="28"/>
          <w:szCs w:val="28"/>
          <w:lang w:val="en-US" w:eastAsia="zh-CN"/>
        </w:rPr>
      </w:pPr>
      <w:r>
        <w:rPr>
          <w:rFonts w:ascii="仿宋" w:hAnsi="仿宋" w:eastAsia="仿宋" w:cs="仿宋"/>
          <w:caps/>
          <w:kern w:val="0"/>
          <w:sz w:val="28"/>
          <w:szCs w:val="28"/>
          <w:lang w:val="en-US" w:eastAsia="zh-CN"/>
        </w:rPr>
        <w:t>14.投标人根据采购文件要求和理解，制定出符合本项目的培训目标、课程内容以及人员配置等方案。</w:t>
      </w:r>
    </w:p>
    <w:p w14:paraId="3BFE0C68">
      <w:pPr>
        <w:spacing w:line="360" w:lineRule="auto"/>
        <w:ind w:firstLine="560" w:firstLineChars="200"/>
        <w:jc w:val="left"/>
        <w:rPr>
          <w:rFonts w:ascii="仿宋" w:hAnsi="仿宋" w:eastAsia="仿宋" w:cs="仿宋"/>
          <w:caps/>
          <w:kern w:val="0"/>
          <w:sz w:val="28"/>
          <w:szCs w:val="28"/>
          <w:lang w:val="en-US" w:eastAsia="zh-CN"/>
        </w:rPr>
      </w:pPr>
      <w:r>
        <w:rPr>
          <w:rFonts w:ascii="仿宋" w:hAnsi="仿宋" w:eastAsia="仿宋" w:cs="仿宋"/>
          <w:caps/>
          <w:kern w:val="0"/>
          <w:sz w:val="28"/>
          <w:szCs w:val="28"/>
          <w:lang w:val="en-US" w:eastAsia="zh-CN"/>
        </w:rPr>
        <w:t>15.</w:t>
      </w:r>
      <w:r>
        <w:rPr>
          <w:rFonts w:hint="default" w:ascii="仿宋" w:hAnsi="仿宋" w:eastAsia="仿宋" w:cs="仿宋"/>
          <w:caps/>
          <w:kern w:val="0"/>
          <w:sz w:val="28"/>
          <w:szCs w:val="28"/>
          <w:lang w:val="en-US" w:eastAsia="zh-CN"/>
        </w:rPr>
        <w:t>投标人结合采购需求，针对本项目的实际情况，提供详细的售后服务方案，包括但不限于售后服务内容、团队、服务质量保证等。</w:t>
      </w:r>
    </w:p>
    <w:p w14:paraId="517A8070">
      <w:pPr>
        <w:pStyle w:val="39"/>
        <w:ind w:left="556" w:hanging="278"/>
        <w:rPr>
          <w:rFonts w:hint="default"/>
          <w:lang w:val="en-US" w:eastAsia="zh-CN"/>
        </w:rPr>
      </w:pPr>
    </w:p>
    <w:p w14:paraId="54C2F096">
      <w:pPr>
        <w:rPr>
          <w:rFonts w:hint="default" w:ascii="Times New Roman" w:hAnsi="Times New Roman" w:eastAsia="方正小标宋_GBK" w:cs="Times New Roman"/>
          <w:bCs/>
          <w:color w:val="auto"/>
          <w:kern w:val="0"/>
          <w:sz w:val="30"/>
          <w:szCs w:val="30"/>
          <w:lang w:val="en-US" w:eastAsia="zh-CN"/>
        </w:rPr>
      </w:pPr>
    </w:p>
    <w:p w14:paraId="75979E17">
      <w:pPr>
        <w:rPr>
          <w:rFonts w:hint="default" w:ascii="Times New Roman" w:hAnsi="Times New Roman" w:eastAsia="方正小标宋_GBK" w:cs="Times New Roman"/>
          <w:bCs/>
          <w:color w:val="auto"/>
          <w:kern w:val="0"/>
          <w:sz w:val="30"/>
          <w:szCs w:val="30"/>
          <w:lang w:val="en-US" w:eastAsia="zh-CN"/>
        </w:rPr>
      </w:pPr>
      <w:r>
        <w:rPr>
          <w:rFonts w:ascii="Times New Roman" w:hAnsi="Times New Roman" w:eastAsia="方正小标宋_GBK" w:cs="Times New Roman"/>
          <w:bCs/>
          <w:color w:val="auto"/>
          <w:kern w:val="0"/>
          <w:sz w:val="30"/>
          <w:szCs w:val="30"/>
          <w:lang w:val="en-US" w:eastAsia="zh-CN"/>
        </w:rPr>
        <w:br w:type="page"/>
      </w:r>
    </w:p>
    <w:p w14:paraId="3D373DC4">
      <w:pPr>
        <w:jc w:val="center"/>
        <w:outlineLvl w:val="0"/>
        <w:rPr>
          <w:rFonts w:hint="default" w:ascii="Times New Roman" w:hAnsi="Times New Roman" w:eastAsia="宋体" w:cs="Times New Roman"/>
          <w:b/>
          <w:bCs/>
          <w:color w:val="auto"/>
          <w:kern w:val="44"/>
          <w:sz w:val="36"/>
          <w:szCs w:val="36"/>
          <w:lang w:val="en-US" w:eastAsia="zh-CN"/>
        </w:rPr>
      </w:pPr>
      <w:bookmarkStart w:id="479" w:name="_Toc20774"/>
      <w:r>
        <w:rPr>
          <w:rFonts w:ascii="Times New Roman" w:hAnsi="Times New Roman" w:eastAsia="宋体" w:cs="Times New Roman"/>
          <w:b/>
          <w:bCs/>
          <w:color w:val="auto"/>
          <w:kern w:val="44"/>
          <w:sz w:val="36"/>
          <w:szCs w:val="36"/>
          <w:lang w:val="en-US" w:eastAsia="zh-CN"/>
        </w:rPr>
        <w:t xml:space="preserve">第七章 </w:t>
      </w:r>
      <w:r>
        <w:rPr>
          <w:rFonts w:hint="default" w:ascii="Times New Roman" w:hAnsi="Times New Roman" w:eastAsia="宋体" w:cs="Times New Roman"/>
          <w:b/>
          <w:bCs/>
          <w:color w:val="auto"/>
          <w:kern w:val="44"/>
          <w:sz w:val="36"/>
          <w:szCs w:val="36"/>
          <w:lang w:val="en-US" w:eastAsia="zh-CN"/>
        </w:rPr>
        <w:t>评标方法和标准</w:t>
      </w:r>
      <w:bookmarkEnd w:id="479"/>
    </w:p>
    <w:p w14:paraId="17FD823A">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480" w:name="_Toc421828923_WPSOffice_Level2"/>
      <w:bookmarkStart w:id="481" w:name="_Toc1595179162_WPSOffice_Level2"/>
      <w:bookmarkStart w:id="482" w:name="_Toc682913791_WPSOffice_Level2"/>
      <w:bookmarkStart w:id="483" w:name="_Toc1270934164_WPSOffice_Level2"/>
      <w:r>
        <w:rPr>
          <w:rFonts w:hint="default" w:ascii="Times New Roman" w:hAnsi="Times New Roman" w:eastAsia="方正小标宋_GBK" w:cs="Times New Roman"/>
          <w:bCs/>
          <w:color w:val="auto"/>
          <w:kern w:val="0"/>
          <w:sz w:val="30"/>
          <w:szCs w:val="30"/>
          <w:lang w:val="en-US" w:eastAsia="zh-CN"/>
        </w:rPr>
        <w:t>一、评标方法</w:t>
      </w:r>
      <w:bookmarkEnd w:id="480"/>
      <w:bookmarkEnd w:id="481"/>
      <w:bookmarkEnd w:id="482"/>
      <w:bookmarkEnd w:id="483"/>
    </w:p>
    <w:p w14:paraId="630484FF">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采用综合评分法，总分值</w:t>
      </w:r>
      <w:r>
        <w:rPr>
          <w:rFonts w:hint="default" w:ascii="Times New Roman" w:hAnsi="Times New Roman" w:eastAsia="仿宋_GB2312" w:cs="Times New Roman"/>
          <w:color w:val="auto"/>
          <w:sz w:val="28"/>
          <w:szCs w:val="28"/>
          <w:lang w:val="en-US" w:eastAsia="zh-CN"/>
        </w:rPr>
        <w:t>100</w:t>
      </w:r>
      <w:r>
        <w:rPr>
          <w:rFonts w:hint="default" w:ascii="Times New Roman" w:hAnsi="Times New Roman" w:eastAsia="仿宋_GB2312" w:cs="Times New Roman"/>
          <w:color w:val="auto"/>
          <w:sz w:val="28"/>
          <w:szCs w:val="28"/>
          <w:lang w:eastAsia="zh-CN"/>
        </w:rPr>
        <w:t>分。</w:t>
      </w:r>
      <w:bookmarkStart w:id="484" w:name="_Toc35230229_WPSOffice_Level2"/>
      <w:r>
        <w:rPr>
          <w:rFonts w:hint="default" w:ascii="Times New Roman" w:hAnsi="Times New Roman" w:eastAsia="仿宋_GB2312" w:cs="Times New Roman"/>
          <w:color w:val="auto"/>
          <w:sz w:val="28"/>
          <w:szCs w:val="28"/>
          <w:lang w:eastAsia="zh-CN"/>
        </w:rPr>
        <w:t>评标委员会对各投标人的投标文件进行符合性审查、详细评审后，按评审得分由高到低顺序推荐排名。如评审得分相同的，按投标报价由低到高顺序推荐排列；评审得分且投标报价相同的并列。</w:t>
      </w:r>
    </w:p>
    <w:p w14:paraId="31E812D3">
      <w:pPr>
        <w:pStyle w:val="39"/>
        <w:spacing w:line="360" w:lineRule="auto"/>
        <w:ind w:left="0" w:leftChars="0" w:firstLine="560" w:firstLineChars="200"/>
        <w:rPr>
          <w:rFonts w:hint="default" w:eastAsia="仿宋_GB2312" w:cs="Times New Roman"/>
          <w:color w:val="auto"/>
          <w:sz w:val="28"/>
          <w:szCs w:val="28"/>
          <w:u w:val="single"/>
          <w:lang w:val="en-US" w:eastAsia="zh-CN"/>
        </w:rPr>
      </w:pPr>
      <w:r>
        <w:rPr>
          <w:rFonts w:hint="default" w:eastAsia="仿宋_GB2312" w:cs="Times New Roman"/>
          <w:color w:val="auto"/>
          <w:sz w:val="28"/>
          <w:szCs w:val="28"/>
          <w:lang w:eastAsia="zh-CN"/>
        </w:rPr>
        <w:t>其他：</w:t>
      </w:r>
      <w:r>
        <w:rPr>
          <w:rFonts w:hint="default" w:eastAsia="仿宋_GB2312" w:cs="Times New Roman"/>
          <w:color w:val="auto"/>
          <w:sz w:val="28"/>
          <w:szCs w:val="28"/>
          <w:lang w:val="en" w:eastAsia="zh-CN"/>
        </w:rPr>
        <w:t>无</w:t>
      </w:r>
      <w:r>
        <w:rPr>
          <w:rFonts w:hint="default" w:eastAsia="仿宋_GB2312" w:cs="Times New Roman"/>
          <w:color w:val="auto"/>
          <w:sz w:val="28"/>
          <w:szCs w:val="28"/>
          <w:lang w:val="en-US" w:eastAsia="zh-CN"/>
        </w:rPr>
        <w:t>。</w:t>
      </w:r>
    </w:p>
    <w:bookmarkEnd w:id="484"/>
    <w:p w14:paraId="07C1E6E8">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485" w:name="_Toc333611415_WPSOffice_Level3"/>
      <w:bookmarkStart w:id="486" w:name="_Toc1410113626_WPSOffice_Level3"/>
      <w:r>
        <w:rPr>
          <w:rFonts w:hint="default" w:ascii="Times New Roman" w:hAnsi="Times New Roman" w:eastAsia="方正小标宋_GBK" w:cs="Times New Roman"/>
          <w:bCs/>
          <w:color w:val="auto"/>
          <w:kern w:val="0"/>
          <w:sz w:val="30"/>
          <w:szCs w:val="30"/>
          <w:lang w:val="en-US" w:eastAsia="zh-CN"/>
        </w:rPr>
        <w:t>二、符合性审查</w:t>
      </w:r>
      <w:bookmarkEnd w:id="485"/>
      <w:bookmarkEnd w:id="486"/>
    </w:p>
    <w:p w14:paraId="7245644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评标委员会对符合资格的投标人的投标文件进行符合性审查，以确定其是否满足招标文件的实质性要求。</w:t>
      </w:r>
    </w:p>
    <w:p w14:paraId="53ED7D41">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投标文件不存在雷同性（评标系统内</w:t>
      </w:r>
      <w:r>
        <w:rPr>
          <w:rFonts w:ascii="Times New Roman" w:hAnsi="Times New Roman" w:eastAsia="仿宋_GB2312" w:cs="Times New Roman"/>
          <w:color w:val="auto"/>
          <w:sz w:val="28"/>
          <w:szCs w:val="28"/>
          <w:lang w:eastAsia="zh-CN"/>
        </w:rPr>
        <w:t>投标文件</w:t>
      </w:r>
      <w:r>
        <w:rPr>
          <w:rFonts w:hint="default" w:ascii="Times New Roman" w:hAnsi="Times New Roman" w:eastAsia="仿宋_GB2312" w:cs="Times New Roman"/>
          <w:color w:val="auto"/>
          <w:sz w:val="28"/>
          <w:szCs w:val="28"/>
          <w:lang w:eastAsia="zh-CN"/>
        </w:rPr>
        <w:t>雷同性分析，包括文件制作机器码或文件创建标识码）。</w:t>
      </w:r>
    </w:p>
    <w:p w14:paraId="7172ED40">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签字盖章签章符合招标文件要求；</w:t>
      </w:r>
    </w:p>
    <w:p w14:paraId="513EA812">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3.投标有效期符合招标文件要求；</w:t>
      </w:r>
    </w:p>
    <w:p w14:paraId="7645B2B1">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4.投标报价未超出</w:t>
      </w:r>
      <w:r>
        <w:rPr>
          <w:rFonts w:hint="default" w:ascii="Times New Roman" w:hAnsi="Times New Roman" w:eastAsia="仿宋_GB2312" w:cs="Times New Roman"/>
          <w:color w:val="auto"/>
          <w:sz w:val="28"/>
          <w:szCs w:val="28"/>
          <w:lang w:val="en-US" w:eastAsia="zh-CN"/>
        </w:rPr>
        <w:t>最高限价</w:t>
      </w:r>
      <w:r>
        <w:rPr>
          <w:rFonts w:hint="default" w:ascii="Times New Roman" w:hAnsi="Times New Roman" w:eastAsia="仿宋_GB2312" w:cs="Times New Roman"/>
          <w:color w:val="auto"/>
          <w:sz w:val="28"/>
          <w:szCs w:val="28"/>
          <w:lang w:eastAsia="zh-CN"/>
        </w:rPr>
        <w:t>；</w:t>
      </w:r>
    </w:p>
    <w:p w14:paraId="50599C1F">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5.投标文件无重大或不可接受的偏差；</w:t>
      </w:r>
    </w:p>
    <w:p w14:paraId="1E4AEC75">
      <w:pPr>
        <w:spacing w:line="360" w:lineRule="auto"/>
        <w:ind w:firstLine="48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6.带★代表实质性指标，不满足或未响应该指标项将导致投标被拒绝；</w:t>
      </w:r>
    </w:p>
    <w:p w14:paraId="3501F4A4">
      <w:pPr>
        <w:spacing w:line="360" w:lineRule="auto"/>
        <w:ind w:firstLine="48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投标文件未附有采购人不能接受的条件；</w:t>
      </w:r>
    </w:p>
    <w:p w14:paraId="2E84C1CC">
      <w:pPr>
        <w:spacing w:line="360" w:lineRule="auto"/>
        <w:ind w:firstLine="480"/>
        <w:rPr>
          <w:rFonts w:hint="default" w:ascii="Times New Roman" w:hAnsi="Times New Roman" w:eastAsia="仿宋_GB2312" w:cs="Times New Roman"/>
          <w:color w:val="auto"/>
          <w:sz w:val="28"/>
          <w:szCs w:val="28"/>
          <w:lang w:val="en-US" w:eastAsia="zh-CN"/>
        </w:rPr>
      </w:pPr>
      <w:bookmarkStart w:id="487" w:name="_Hlk142994671"/>
      <w:r>
        <w:rPr>
          <w:rFonts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val="en-US" w:eastAsia="zh-CN"/>
        </w:rPr>
        <w:t>.</w:t>
      </w:r>
      <w:bookmarkEnd w:id="487"/>
      <w:r>
        <w:rPr>
          <w:rFonts w:hint="default" w:ascii="Times New Roman" w:hAnsi="Times New Roman" w:eastAsia="仿宋_GB2312" w:cs="Times New Roman"/>
          <w:color w:val="auto"/>
          <w:sz w:val="28"/>
          <w:szCs w:val="28"/>
          <w:lang w:val="en-US" w:eastAsia="zh-CN"/>
        </w:rPr>
        <w:t>招标文件及法律法规规定的其他情形</w:t>
      </w:r>
      <w:r>
        <w:rPr>
          <w:rFonts w:hint="default" w:ascii="Times New Roman" w:hAnsi="Times New Roman" w:eastAsia="仿宋_GB2312" w:cs="Times New Roman"/>
          <w:color w:val="auto"/>
          <w:sz w:val="28"/>
          <w:szCs w:val="28"/>
          <w:lang w:eastAsia="zh-CN"/>
        </w:rPr>
        <w:t>。</w:t>
      </w:r>
    </w:p>
    <w:p w14:paraId="5F9C785A">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488" w:name="_Toc1716909242_WPSOffice_Level3"/>
      <w:bookmarkStart w:id="489" w:name="_Toc278923003_WPSOffice_Level3"/>
      <w:r>
        <w:rPr>
          <w:rFonts w:ascii="Times New Roman" w:hAnsi="Times New Roman" w:eastAsia="方正小标宋_GBK" w:cs="Times New Roman"/>
          <w:bCs/>
          <w:color w:val="auto"/>
          <w:kern w:val="0"/>
          <w:sz w:val="30"/>
          <w:szCs w:val="30"/>
          <w:lang w:val="en-US" w:eastAsia="zh-CN"/>
        </w:rPr>
        <w:t>三、详细评审</w:t>
      </w:r>
    </w:p>
    <w:bookmarkEnd w:id="488"/>
    <w:bookmarkEnd w:id="489"/>
    <w:p w14:paraId="5C7EE5A8">
      <w:pPr>
        <w:spacing w:line="360" w:lineRule="auto"/>
        <w:ind w:firstLine="562" w:firstLineChars="200"/>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．澄清有关问题</w:t>
      </w:r>
    </w:p>
    <w:p w14:paraId="7CE82FF1">
      <w:pPr>
        <w:spacing w:line="360" w:lineRule="auto"/>
        <w:ind w:firstLine="560" w:firstLineChars="200"/>
        <w:rPr>
          <w:rFonts w:hint="default" w:ascii="Times New Roman" w:hAnsi="Times New Roman" w:eastAsia="仿宋_GB2312" w:cs="Times New Roman"/>
          <w:color w:val="auto"/>
          <w:sz w:val="28"/>
          <w:szCs w:val="28"/>
          <w:lang w:eastAsia="zh-CN"/>
        </w:rPr>
      </w:pPr>
      <w:bookmarkStart w:id="490" w:name="_Toc2074264070_WPSOffice_Level3"/>
      <w:bookmarkStart w:id="491" w:name="_Toc577657209_WPSOffice_Level3"/>
      <w:r>
        <w:rPr>
          <w:rFonts w:hint="default" w:ascii="Times New Roman" w:hAnsi="Times New Roman" w:eastAsia="仿宋_GB2312" w:cs="Times New Roman"/>
          <w:color w:val="auto"/>
          <w:sz w:val="28"/>
          <w:szCs w:val="28"/>
          <w:lang w:val="en-US" w:eastAsia="zh-CN"/>
        </w:rPr>
        <w:t>1.1</w:t>
      </w:r>
      <w:r>
        <w:rPr>
          <w:rFonts w:hint="default" w:ascii="Times New Roman" w:hAnsi="Times New Roman" w:eastAsia="仿宋_GB2312" w:cs="Times New Roman"/>
          <w:color w:val="auto"/>
          <w:sz w:val="28"/>
          <w:szCs w:val="28"/>
          <w:lang w:eastAsia="zh-CN"/>
        </w:rPr>
        <w:t>对于投标文件中含义不明确、同类问题表述不一致或者有明显文字和计算错误的内容，评标委员会应当以书面形式要求投标人作出必要的澄清、说明或者补正。</w:t>
      </w:r>
    </w:p>
    <w:p w14:paraId="6D9025CD">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1.2</w:t>
      </w:r>
      <w:r>
        <w:rPr>
          <w:rFonts w:hint="default" w:ascii="Times New Roman" w:hAnsi="Times New Roman" w:eastAsia="仿宋_GB2312" w:cs="Times New Roman"/>
          <w:color w:val="auto"/>
          <w:sz w:val="28"/>
          <w:szCs w:val="28"/>
          <w:lang w:eastAsia="zh-CN"/>
        </w:rPr>
        <w:t>投标人的澄清、说明或者补正不得超出投标文件的范围或者改变投标文件的实质性内容。</w:t>
      </w:r>
    </w:p>
    <w:p w14:paraId="04CD8ED2">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1.3</w:t>
      </w:r>
      <w:r>
        <w:rPr>
          <w:rFonts w:hint="default" w:ascii="Times New Roman" w:hAnsi="Times New Roman" w:eastAsia="仿宋_GB2312" w:cs="Times New Roman"/>
          <w:color w:val="auto"/>
          <w:sz w:val="28"/>
          <w:szCs w:val="28"/>
          <w:lang w:eastAsia="zh-CN"/>
        </w:rPr>
        <w:t>允许修正投标文件中不构成重大偏离的、微小的、非正规的、不一致或不规则的地方。</w:t>
      </w:r>
    </w:p>
    <w:p w14:paraId="4EC994BB">
      <w:pPr>
        <w:spacing w:line="360" w:lineRule="auto"/>
        <w:ind w:firstLine="562" w:firstLineChars="200"/>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val="en-US" w:eastAsia="zh-CN"/>
        </w:rPr>
        <w:t>2</w:t>
      </w:r>
      <w:r>
        <w:rPr>
          <w:rFonts w:hint="default" w:ascii="Times New Roman" w:hAnsi="Times New Roman" w:eastAsia="仿宋_GB2312" w:cs="Times New Roman"/>
          <w:b/>
          <w:color w:val="auto"/>
          <w:sz w:val="28"/>
          <w:szCs w:val="28"/>
          <w:lang w:eastAsia="zh-CN"/>
        </w:rPr>
        <w:t>．</w:t>
      </w:r>
      <w:bookmarkEnd w:id="490"/>
      <w:bookmarkEnd w:id="491"/>
      <w:r>
        <w:rPr>
          <w:rFonts w:hint="default" w:ascii="Times New Roman" w:hAnsi="Times New Roman" w:eastAsia="仿宋_GB2312" w:cs="Times New Roman"/>
          <w:b/>
          <w:color w:val="auto"/>
          <w:sz w:val="28"/>
          <w:szCs w:val="28"/>
          <w:lang w:eastAsia="zh-CN"/>
        </w:rPr>
        <w:t>综合比较与评价</w:t>
      </w:r>
    </w:p>
    <w:p w14:paraId="196368BC">
      <w:pPr>
        <w:spacing w:line="360" w:lineRule="auto"/>
        <w:ind w:firstLine="560" w:firstLineChars="200"/>
        <w:rPr>
          <w:rFonts w:hint="default" w:ascii="Times New Roman" w:hAnsi="Times New Roman" w:eastAsia="仿宋_GB2312" w:cs="Times New Roman"/>
          <w:color w:val="auto"/>
          <w:sz w:val="28"/>
          <w:szCs w:val="28"/>
          <w:lang w:eastAsia="zh-CN"/>
        </w:rPr>
      </w:pPr>
      <w:bookmarkStart w:id="492" w:name="_Toc1647555423_WPSOffice_Level3"/>
      <w:bookmarkStart w:id="493" w:name="_Toc75126242_WPSOffice_Level3"/>
      <w:r>
        <w:rPr>
          <w:rFonts w:hint="default" w:ascii="Times New Roman" w:hAnsi="Times New Roman" w:eastAsia="仿宋_GB2312" w:cs="Times New Roman"/>
          <w:color w:val="auto"/>
          <w:sz w:val="28"/>
          <w:szCs w:val="28"/>
          <w:lang w:val="en-US" w:eastAsia="zh-CN"/>
        </w:rPr>
        <w:t>2.1</w:t>
      </w:r>
      <w:r>
        <w:rPr>
          <w:rFonts w:hint="default" w:ascii="Times New Roman" w:hAnsi="Times New Roman" w:eastAsia="仿宋_GB2312" w:cs="Times New Roman"/>
          <w:color w:val="auto"/>
          <w:sz w:val="28"/>
          <w:szCs w:val="28"/>
          <w:lang w:eastAsia="zh-CN"/>
        </w:rPr>
        <w:t>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3FD09217">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2.2</w:t>
      </w:r>
      <w:r>
        <w:rPr>
          <w:rFonts w:hint="default" w:ascii="Times New Roman" w:hAnsi="Times New Roman" w:eastAsia="仿宋_GB2312" w:cs="Times New Roman"/>
          <w:color w:val="auto"/>
          <w:sz w:val="28"/>
          <w:szCs w:val="28"/>
          <w:lang w:eastAsia="zh-CN"/>
        </w:rPr>
        <w:t>评标时，评标委员会各成员应当独立对每个投标人的投标文件进行评价，并汇总每个投标人的得分，由评标委员会推荐3名中标候选人。</w:t>
      </w:r>
    </w:p>
    <w:p w14:paraId="7C05DFA6">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2.3</w:t>
      </w:r>
      <w:r>
        <w:rPr>
          <w:rFonts w:hint="default" w:ascii="Times New Roman" w:hAnsi="Times New Roman" w:eastAsia="仿宋_GB2312" w:cs="Times New Roman"/>
          <w:color w:val="auto"/>
          <w:sz w:val="28"/>
          <w:szCs w:val="28"/>
          <w:lang w:eastAsia="zh-CN"/>
        </w:rPr>
        <w:t>投标人的评审得分为所有评委评审得分的算术平均值，评审得分取至小数点后两位（第三位四舍五入）。</w:t>
      </w:r>
    </w:p>
    <w:p w14:paraId="2DDBFCC1">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2.4</w:t>
      </w:r>
      <w:r>
        <w:rPr>
          <w:rFonts w:hint="default" w:ascii="Times New Roman" w:hAnsi="Times New Roman" w:eastAsia="仿宋_GB2312" w:cs="Times New Roman"/>
          <w:color w:val="auto"/>
          <w:sz w:val="28"/>
          <w:szCs w:val="28"/>
          <w:lang w:eastAsia="zh-CN"/>
        </w:rPr>
        <w:t>评标委员会完成评标后，应当出具书面评标报告。</w:t>
      </w:r>
    </w:p>
    <w:p w14:paraId="0C4E2165">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2.5</w:t>
      </w:r>
      <w:r>
        <w:rPr>
          <w:rFonts w:hint="default" w:ascii="Times New Roman" w:hAnsi="Times New Roman" w:eastAsia="仿宋_GB2312" w:cs="Times New Roman"/>
          <w:color w:val="auto"/>
          <w:sz w:val="28"/>
          <w:szCs w:val="28"/>
          <w:lang w:eastAsia="zh-CN"/>
        </w:rPr>
        <w:t>评标委员会成员对需要共同认定的事项存在争议的，应当按照少数服从多数的原则作出结论。持不同意见的评标委员会成员应当在评标报告上签署不同意见及理由，否则视为同意评标报告。</w:t>
      </w:r>
    </w:p>
    <w:p w14:paraId="72EDE0C1">
      <w:pPr>
        <w:keepNext/>
        <w:keepLines/>
        <w:widowControl w:val="0"/>
        <w:autoSpaceDE w:val="0"/>
        <w:autoSpaceDN w:val="0"/>
        <w:adjustRightInd w:val="0"/>
        <w:spacing w:line="360" w:lineRule="auto"/>
        <w:outlineLvl w:val="1"/>
        <w:rPr>
          <w:rFonts w:hint="default" w:ascii="仿宋_GB2312" w:hAnsi="Times New Roman" w:eastAsia="仿宋_GB2312"/>
          <w:color w:val="auto"/>
          <w:sz w:val="28"/>
          <w:szCs w:val="28"/>
          <w:lang w:val="en-US" w:eastAsia="zh-CN"/>
        </w:rPr>
      </w:pPr>
      <w:r>
        <w:rPr>
          <w:rFonts w:ascii="Times New Roman" w:hAnsi="Times New Roman" w:eastAsia="方正小标宋_GBK" w:cs="Times New Roman"/>
          <w:bCs/>
          <w:color w:val="auto"/>
          <w:kern w:val="0"/>
          <w:sz w:val="30"/>
          <w:szCs w:val="30"/>
          <w:lang w:val="en-US" w:eastAsia="zh-CN"/>
        </w:rPr>
        <w:br w:type="page"/>
      </w:r>
      <w:r>
        <w:rPr>
          <w:rFonts w:ascii="Times New Roman" w:hAnsi="Times New Roman" w:eastAsia="方正小标宋_GBK" w:cs="Times New Roman"/>
          <w:bCs/>
          <w:color w:val="auto"/>
          <w:kern w:val="0"/>
          <w:sz w:val="30"/>
          <w:szCs w:val="30"/>
          <w:lang w:val="en-US" w:eastAsia="zh-CN"/>
        </w:rPr>
        <w:t>四、评分标准</w:t>
      </w:r>
    </w:p>
    <w:tbl>
      <w:tblPr>
        <w:tblStyle w:val="51"/>
        <w:tblW w:w="5213" w:type="pct"/>
        <w:tblInd w:w="-1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1375"/>
        <w:gridCol w:w="6487"/>
        <w:gridCol w:w="1022"/>
      </w:tblGrid>
      <w:tr w14:paraId="4AC9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blHeader/>
        </w:trPr>
        <w:tc>
          <w:tcPr>
            <w:tcW w:w="721" w:type="pct"/>
            <w:vAlign w:val="center"/>
          </w:tcPr>
          <w:p w14:paraId="3C49CDE3">
            <w:pPr>
              <w:jc w:val="center"/>
              <w:textAlignment w:val="top"/>
              <w:rPr>
                <w:rFonts w:ascii="宋体" w:hAnsi="宋体" w:eastAsia="宋体" w:cs="宋体"/>
                <w:b/>
                <w:sz w:val="28"/>
                <w:szCs w:val="28"/>
              </w:rPr>
            </w:pPr>
            <w:r>
              <w:rPr>
                <w:rFonts w:ascii="宋体" w:hAnsi="宋体" w:eastAsia="宋体" w:cs="宋体"/>
                <w:b/>
                <w:kern w:val="0"/>
                <w:sz w:val="28"/>
                <w:szCs w:val="28"/>
              </w:rPr>
              <w:t>评分因素</w:t>
            </w:r>
          </w:p>
        </w:tc>
        <w:tc>
          <w:tcPr>
            <w:tcW w:w="662" w:type="pct"/>
            <w:vAlign w:val="center"/>
          </w:tcPr>
          <w:p w14:paraId="41324794">
            <w:pPr>
              <w:jc w:val="center"/>
              <w:textAlignment w:val="center"/>
              <w:rPr>
                <w:rFonts w:ascii="宋体" w:hAnsi="宋体" w:eastAsia="宋体" w:cs="宋体"/>
                <w:b/>
                <w:sz w:val="28"/>
                <w:szCs w:val="28"/>
              </w:rPr>
            </w:pPr>
            <w:r>
              <w:rPr>
                <w:rFonts w:ascii="宋体" w:hAnsi="宋体" w:eastAsia="宋体" w:cs="宋体"/>
                <w:b/>
                <w:kern w:val="0"/>
                <w:sz w:val="28"/>
                <w:szCs w:val="28"/>
              </w:rPr>
              <w:t>评分内容</w:t>
            </w:r>
          </w:p>
        </w:tc>
        <w:tc>
          <w:tcPr>
            <w:tcW w:w="3124" w:type="pct"/>
            <w:vAlign w:val="center"/>
          </w:tcPr>
          <w:p w14:paraId="33D4B537">
            <w:pPr>
              <w:jc w:val="center"/>
              <w:textAlignment w:val="center"/>
              <w:rPr>
                <w:rFonts w:ascii="宋体" w:hAnsi="宋体" w:eastAsia="宋体" w:cs="宋体"/>
                <w:b/>
                <w:color w:val="auto"/>
                <w:sz w:val="28"/>
                <w:szCs w:val="28"/>
              </w:rPr>
            </w:pPr>
            <w:r>
              <w:rPr>
                <w:rFonts w:ascii="宋体" w:hAnsi="宋体" w:eastAsia="宋体" w:cs="黑体"/>
                <w:b/>
                <w:bCs/>
                <w:color w:val="auto"/>
                <w:kern w:val="0"/>
                <w:sz w:val="28"/>
                <w:szCs w:val="28"/>
              </w:rPr>
              <w:t>评分标准</w:t>
            </w:r>
          </w:p>
        </w:tc>
        <w:tc>
          <w:tcPr>
            <w:tcW w:w="492" w:type="pct"/>
            <w:vAlign w:val="center"/>
          </w:tcPr>
          <w:p w14:paraId="674CAE5F">
            <w:pPr>
              <w:jc w:val="center"/>
              <w:textAlignment w:val="center"/>
              <w:rPr>
                <w:rFonts w:ascii="宋体" w:hAnsi="宋体" w:eastAsia="宋体" w:cs="宋体"/>
                <w:b/>
                <w:color w:val="auto"/>
                <w:sz w:val="28"/>
                <w:szCs w:val="28"/>
              </w:rPr>
            </w:pPr>
            <w:r>
              <w:rPr>
                <w:rFonts w:ascii="宋体" w:hAnsi="宋体" w:eastAsia="宋体" w:cs="宋体"/>
                <w:b/>
                <w:color w:val="auto"/>
                <w:kern w:val="0"/>
                <w:sz w:val="28"/>
                <w:szCs w:val="28"/>
              </w:rPr>
              <w:t>分值</w:t>
            </w:r>
          </w:p>
        </w:tc>
      </w:tr>
      <w:tr w14:paraId="49CC6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Align w:val="center"/>
          </w:tcPr>
          <w:p w14:paraId="49803EE6">
            <w:pPr>
              <w:jc w:val="center"/>
              <w:rPr>
                <w:rFonts w:ascii="仿宋" w:hAnsi="仿宋" w:eastAsia="仿宋" w:cs="仿宋"/>
                <w:sz w:val="28"/>
                <w:szCs w:val="28"/>
              </w:rPr>
            </w:pPr>
            <w:r>
              <w:rPr>
                <w:rFonts w:ascii="仿宋" w:hAnsi="仿宋" w:eastAsia="仿宋" w:cs="仿宋"/>
                <w:sz w:val="28"/>
                <w:szCs w:val="28"/>
              </w:rPr>
              <w:t>报价部分</w:t>
            </w:r>
          </w:p>
          <w:p w14:paraId="6EDB8BD5">
            <w:pPr>
              <w:pStyle w:val="22"/>
              <w:ind w:left="0" w:leftChars="0"/>
              <w:jc w:val="center"/>
              <w:rPr>
                <w:rFonts w:ascii="仿宋" w:hAnsi="仿宋" w:eastAsia="仿宋" w:cs="仿宋"/>
                <w:sz w:val="28"/>
                <w:szCs w:val="28"/>
              </w:rPr>
            </w:pPr>
            <w:r>
              <w:rPr>
                <w:rFonts w:ascii="仿宋" w:hAnsi="仿宋" w:eastAsia="仿宋" w:cs="仿宋"/>
                <w:sz w:val="28"/>
                <w:szCs w:val="28"/>
              </w:rPr>
              <w:t>（30分）</w:t>
            </w:r>
          </w:p>
        </w:tc>
        <w:tc>
          <w:tcPr>
            <w:tcW w:w="662" w:type="pct"/>
            <w:vAlign w:val="center"/>
          </w:tcPr>
          <w:p w14:paraId="26B6EAF3">
            <w:pPr>
              <w:rPr>
                <w:rFonts w:ascii="仿宋" w:hAnsi="仿宋" w:eastAsia="仿宋" w:cs="仿宋"/>
                <w:sz w:val="28"/>
                <w:szCs w:val="28"/>
              </w:rPr>
            </w:pPr>
            <w:r>
              <w:rPr>
                <w:rFonts w:ascii="仿宋" w:hAnsi="仿宋" w:eastAsia="仿宋" w:cs="仿宋"/>
                <w:sz w:val="28"/>
                <w:szCs w:val="28"/>
              </w:rPr>
              <w:t>投标报价</w:t>
            </w:r>
          </w:p>
        </w:tc>
        <w:tc>
          <w:tcPr>
            <w:tcW w:w="3124" w:type="pct"/>
            <w:vAlign w:val="center"/>
          </w:tcPr>
          <w:p w14:paraId="66071F5A">
            <w:pPr>
              <w:spacing w:line="360" w:lineRule="auto"/>
              <w:rPr>
                <w:rFonts w:ascii="仿宋" w:hAnsi="仿宋" w:eastAsia="仿宋" w:cs="仿宋"/>
                <w:sz w:val="28"/>
                <w:szCs w:val="28"/>
                <w:lang w:eastAsia="zh-CN"/>
              </w:rPr>
            </w:pPr>
            <w:r>
              <w:rPr>
                <w:rFonts w:ascii="仿宋" w:hAnsi="仿宋" w:eastAsia="仿宋" w:cs="仿宋"/>
                <w:sz w:val="28"/>
                <w:szCs w:val="28"/>
                <w:lang w:eastAsia="zh-CN"/>
              </w:rPr>
              <w:t>实质性满足招标文件要求且投标价格最低的投标报价为评标基准价，其价格分为满分。</w:t>
            </w:r>
          </w:p>
          <w:p w14:paraId="7AC8CA83">
            <w:pPr>
              <w:spacing w:line="360" w:lineRule="auto"/>
              <w:rPr>
                <w:rFonts w:ascii="仿宋" w:hAnsi="仿宋" w:eastAsia="仿宋" w:cs="仿宋"/>
                <w:sz w:val="28"/>
                <w:szCs w:val="28"/>
                <w:lang w:eastAsia="zh-CN"/>
              </w:rPr>
            </w:pPr>
            <w:r>
              <w:rPr>
                <w:rFonts w:ascii="仿宋" w:hAnsi="仿宋" w:eastAsia="仿宋" w:cs="仿宋"/>
                <w:sz w:val="28"/>
                <w:szCs w:val="28"/>
                <w:lang w:eastAsia="zh-CN"/>
              </w:rPr>
              <w:t>其他投标人的价格分统一按照下列公式计算：投标报价得分=（评标基准价/投标报价）×30，因落实政府采购政策进行价格调整的，以调整后的价格计算评标基准价和投标报价得分。</w:t>
            </w:r>
          </w:p>
        </w:tc>
        <w:tc>
          <w:tcPr>
            <w:tcW w:w="492" w:type="pct"/>
            <w:vAlign w:val="center"/>
          </w:tcPr>
          <w:p w14:paraId="0061C316">
            <w:pPr>
              <w:spacing w:line="360" w:lineRule="auto"/>
              <w:jc w:val="center"/>
              <w:rPr>
                <w:rFonts w:ascii="仿宋" w:hAnsi="仿宋" w:eastAsia="仿宋" w:cs="仿宋"/>
                <w:sz w:val="28"/>
                <w:szCs w:val="28"/>
              </w:rPr>
            </w:pPr>
            <w:r>
              <w:rPr>
                <w:rFonts w:ascii="仿宋" w:hAnsi="仿宋" w:eastAsia="仿宋" w:cs="仿宋"/>
                <w:sz w:val="28"/>
                <w:szCs w:val="28"/>
              </w:rPr>
              <w:t>30</w:t>
            </w:r>
          </w:p>
        </w:tc>
      </w:tr>
      <w:tr w14:paraId="2128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Align w:val="center"/>
          </w:tcPr>
          <w:p w14:paraId="40517CDE">
            <w:pPr>
              <w:jc w:val="center"/>
              <w:rPr>
                <w:rFonts w:ascii="仿宋" w:hAnsi="仿宋" w:eastAsia="仿宋" w:cs="仿宋"/>
                <w:sz w:val="28"/>
                <w:szCs w:val="28"/>
              </w:rPr>
            </w:pPr>
            <w:r>
              <w:rPr>
                <w:rFonts w:ascii="仿宋" w:hAnsi="仿宋" w:eastAsia="仿宋" w:cs="仿宋"/>
                <w:sz w:val="28"/>
                <w:szCs w:val="28"/>
              </w:rPr>
              <w:t>技术部分</w:t>
            </w:r>
          </w:p>
          <w:p w14:paraId="0DAD0AC4">
            <w:pPr>
              <w:jc w:val="center"/>
              <w:rPr>
                <w:rFonts w:ascii="仿宋" w:hAnsi="仿宋" w:eastAsia="仿宋" w:cs="仿宋"/>
                <w:sz w:val="28"/>
                <w:szCs w:val="28"/>
              </w:rPr>
            </w:pPr>
            <w:r>
              <w:rPr>
                <w:rFonts w:ascii="仿宋" w:hAnsi="仿宋" w:eastAsia="仿宋" w:cs="仿宋"/>
                <w:sz w:val="28"/>
                <w:szCs w:val="28"/>
              </w:rPr>
              <w:t>（</w:t>
            </w:r>
            <w:r>
              <w:rPr>
                <w:rFonts w:ascii="仿宋" w:hAnsi="仿宋" w:eastAsia="仿宋" w:cs="仿宋"/>
                <w:sz w:val="28"/>
                <w:szCs w:val="28"/>
                <w:lang w:val="en-US" w:eastAsia="zh-CN"/>
              </w:rPr>
              <w:t>35</w:t>
            </w:r>
            <w:r>
              <w:rPr>
                <w:rFonts w:ascii="仿宋" w:hAnsi="仿宋" w:eastAsia="仿宋" w:cs="仿宋"/>
                <w:sz w:val="28"/>
                <w:szCs w:val="28"/>
              </w:rPr>
              <w:t>分）</w:t>
            </w:r>
          </w:p>
        </w:tc>
        <w:tc>
          <w:tcPr>
            <w:tcW w:w="662" w:type="pct"/>
            <w:vAlign w:val="center"/>
          </w:tcPr>
          <w:p w14:paraId="72BA596F">
            <w:pPr>
              <w:rPr>
                <w:rFonts w:ascii="仿宋" w:hAnsi="仿宋" w:eastAsia="仿宋" w:cs="仿宋"/>
                <w:sz w:val="28"/>
                <w:szCs w:val="28"/>
              </w:rPr>
            </w:pPr>
            <w:r>
              <w:rPr>
                <w:rFonts w:ascii="仿宋" w:hAnsi="仿宋" w:eastAsia="仿宋" w:cs="仿宋"/>
                <w:sz w:val="28"/>
                <w:szCs w:val="28"/>
              </w:rPr>
              <w:t>技术参数</w:t>
            </w:r>
          </w:p>
        </w:tc>
        <w:tc>
          <w:tcPr>
            <w:tcW w:w="3124" w:type="pct"/>
            <w:vAlign w:val="center"/>
          </w:tcPr>
          <w:p w14:paraId="6FD6D740">
            <w:pPr>
              <w:pStyle w:val="50"/>
              <w:spacing w:line="360" w:lineRule="auto"/>
              <w:ind w:left="0" w:leftChars="0" w:firstLine="0"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t>评标委员会根据投标文件和相关证明材料对招标文件的响应情况，对照判断所投设备是否满足招标文件的要求，投标人可提供技术参数满足或优于招标文件要求的产品：</w:t>
            </w:r>
          </w:p>
          <w:p w14:paraId="43CBBADC">
            <w:pPr>
              <w:spacing w:line="360" w:lineRule="auto"/>
              <w:rPr>
                <w:rFonts w:ascii="仿宋" w:hAnsi="仿宋" w:eastAsia="仿宋" w:cs="仿宋"/>
                <w:sz w:val="28"/>
                <w:szCs w:val="28"/>
              </w:rPr>
            </w:pPr>
            <w:r>
              <w:rPr>
                <w:rFonts w:ascii="仿宋" w:hAnsi="仿宋" w:eastAsia="仿宋" w:cs="仿宋"/>
                <w:sz w:val="28"/>
                <w:szCs w:val="28"/>
                <w:lang w:eastAsia="zh-CN"/>
              </w:rPr>
              <w:t>非★号的技术参数及功能要求为一般技术参数，共</w:t>
            </w:r>
            <w:r>
              <w:rPr>
                <w:rFonts w:ascii="仿宋" w:hAnsi="仿宋" w:eastAsia="仿宋" w:cs="仿宋"/>
                <w:sz w:val="28"/>
                <w:szCs w:val="28"/>
                <w:lang w:val="en-US" w:eastAsia="zh-CN"/>
              </w:rPr>
              <w:t>35</w:t>
            </w:r>
            <w:r>
              <w:rPr>
                <w:rFonts w:ascii="仿宋" w:hAnsi="仿宋" w:eastAsia="仿宋" w:cs="仿宋"/>
                <w:sz w:val="28"/>
                <w:szCs w:val="28"/>
                <w:lang w:eastAsia="zh-CN"/>
              </w:rPr>
              <w:t>分，每有1项不满足扣</w:t>
            </w:r>
            <w:r>
              <w:rPr>
                <w:rFonts w:hint="eastAsia" w:ascii="仿宋" w:hAnsi="仿宋" w:eastAsia="仿宋" w:cs="仿宋"/>
                <w:sz w:val="28"/>
                <w:szCs w:val="28"/>
                <w:lang w:val="en-US" w:eastAsia="zh-CN"/>
              </w:rPr>
              <w:t>1</w:t>
            </w:r>
            <w:r>
              <w:rPr>
                <w:rFonts w:ascii="仿宋" w:hAnsi="仿宋" w:eastAsia="仿宋" w:cs="仿宋"/>
                <w:sz w:val="28"/>
                <w:szCs w:val="28"/>
                <w:lang w:eastAsia="zh-CN"/>
              </w:rPr>
              <w:t>分，超过</w:t>
            </w:r>
            <w:r>
              <w:rPr>
                <w:rFonts w:hint="eastAsia" w:ascii="仿宋" w:hAnsi="仿宋" w:eastAsia="仿宋" w:cs="仿宋"/>
                <w:sz w:val="28"/>
                <w:szCs w:val="28"/>
                <w:lang w:val="en-US" w:eastAsia="zh-CN"/>
              </w:rPr>
              <w:t>35</w:t>
            </w:r>
            <w:r>
              <w:rPr>
                <w:rFonts w:ascii="仿宋" w:hAnsi="仿宋" w:eastAsia="仿宋" w:cs="仿宋"/>
                <w:sz w:val="28"/>
                <w:szCs w:val="28"/>
                <w:lang w:eastAsia="zh-CN"/>
              </w:rPr>
              <w:t>条不满足视为投标文件有重大或不可接受的偏差，投标文件无效。</w:t>
            </w:r>
            <w:r>
              <w:rPr>
                <w:rFonts w:ascii="仿宋" w:hAnsi="仿宋" w:eastAsia="仿宋" w:cs="仿宋"/>
                <w:sz w:val="28"/>
                <w:szCs w:val="28"/>
              </w:rPr>
              <w:t>（需按照文件要求提供相关证明文件）</w:t>
            </w:r>
          </w:p>
        </w:tc>
        <w:tc>
          <w:tcPr>
            <w:tcW w:w="492" w:type="pct"/>
            <w:vAlign w:val="center"/>
          </w:tcPr>
          <w:p w14:paraId="1076BBD9">
            <w:pPr>
              <w:spacing w:line="360" w:lineRule="auto"/>
              <w:jc w:val="center"/>
              <w:rPr>
                <w:rFonts w:ascii="仿宋" w:hAnsi="仿宋" w:eastAsia="仿宋" w:cs="仿宋"/>
                <w:sz w:val="28"/>
                <w:szCs w:val="28"/>
                <w:lang w:val="en-US" w:eastAsia="zh-CN"/>
              </w:rPr>
            </w:pPr>
            <w:r>
              <w:rPr>
                <w:rFonts w:ascii="仿宋" w:hAnsi="仿宋" w:eastAsia="仿宋" w:cs="仿宋"/>
                <w:sz w:val="28"/>
                <w:szCs w:val="28"/>
                <w:lang w:val="en-US" w:eastAsia="zh-CN"/>
              </w:rPr>
              <w:t>35</w:t>
            </w:r>
          </w:p>
        </w:tc>
      </w:tr>
      <w:tr w14:paraId="6AC4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restart"/>
            <w:vAlign w:val="center"/>
          </w:tcPr>
          <w:p w14:paraId="62893593">
            <w:pPr>
              <w:pStyle w:val="22"/>
              <w:ind w:left="0" w:leftChars="0"/>
              <w:jc w:val="center"/>
              <w:rPr>
                <w:rFonts w:ascii="仿宋" w:hAnsi="仿宋" w:eastAsia="仿宋" w:cs="仿宋"/>
                <w:sz w:val="28"/>
                <w:szCs w:val="28"/>
              </w:rPr>
            </w:pPr>
            <w:r>
              <w:rPr>
                <w:rFonts w:ascii="仿宋" w:hAnsi="仿宋" w:eastAsia="仿宋" w:cs="仿宋"/>
                <w:sz w:val="28"/>
                <w:szCs w:val="28"/>
              </w:rPr>
              <w:t>综合部分</w:t>
            </w:r>
          </w:p>
          <w:p w14:paraId="5DFEBD84">
            <w:pPr>
              <w:jc w:val="center"/>
              <w:rPr>
                <w:rFonts w:ascii="仿宋" w:hAnsi="仿宋" w:eastAsia="仿宋" w:cs="仿宋"/>
                <w:sz w:val="28"/>
                <w:szCs w:val="28"/>
              </w:rPr>
            </w:pPr>
            <w:r>
              <w:rPr>
                <w:rFonts w:ascii="仿宋" w:hAnsi="仿宋" w:eastAsia="仿宋" w:cs="仿宋"/>
                <w:sz w:val="28"/>
                <w:szCs w:val="28"/>
              </w:rPr>
              <w:t>（</w:t>
            </w:r>
            <w:r>
              <w:rPr>
                <w:rFonts w:ascii="仿宋" w:hAnsi="仿宋" w:eastAsia="仿宋" w:cs="仿宋"/>
                <w:sz w:val="28"/>
                <w:szCs w:val="28"/>
                <w:lang w:val="en-US" w:eastAsia="zh-CN"/>
              </w:rPr>
              <w:t>35</w:t>
            </w:r>
            <w:r>
              <w:rPr>
                <w:rFonts w:ascii="仿宋" w:hAnsi="仿宋" w:eastAsia="仿宋" w:cs="仿宋"/>
                <w:sz w:val="28"/>
                <w:szCs w:val="28"/>
              </w:rPr>
              <w:t>分）</w:t>
            </w:r>
          </w:p>
        </w:tc>
        <w:tc>
          <w:tcPr>
            <w:tcW w:w="662" w:type="pct"/>
            <w:vAlign w:val="center"/>
          </w:tcPr>
          <w:p w14:paraId="029DDC8F">
            <w:pPr>
              <w:jc w:val="center"/>
              <w:rPr>
                <w:rFonts w:ascii="仿宋" w:hAnsi="仿宋" w:eastAsia="仿宋" w:cs="仿宋"/>
                <w:sz w:val="28"/>
                <w:szCs w:val="28"/>
                <w:lang w:eastAsia="zh-CN"/>
              </w:rPr>
            </w:pPr>
            <w:r>
              <w:rPr>
                <w:rFonts w:ascii="仿宋" w:hAnsi="仿宋" w:eastAsia="仿宋" w:cs="仿宋"/>
                <w:sz w:val="28"/>
                <w:szCs w:val="28"/>
                <w:lang w:eastAsia="zh-CN"/>
              </w:rPr>
              <w:t>业绩</w:t>
            </w:r>
          </w:p>
        </w:tc>
        <w:tc>
          <w:tcPr>
            <w:tcW w:w="3124" w:type="pct"/>
            <w:vAlign w:val="center"/>
          </w:tcPr>
          <w:p w14:paraId="6F56EB54">
            <w:pPr>
              <w:spacing w:line="360" w:lineRule="auto"/>
              <w:rPr>
                <w:rFonts w:ascii="仿宋" w:hAnsi="仿宋" w:eastAsia="仿宋" w:cs="仿宋"/>
                <w:sz w:val="28"/>
                <w:szCs w:val="28"/>
              </w:rPr>
            </w:pPr>
            <w:r>
              <w:rPr>
                <w:rFonts w:ascii="仿宋" w:hAnsi="仿宋" w:eastAsia="仿宋" w:cs="仿宋"/>
                <w:sz w:val="28"/>
                <w:szCs w:val="28"/>
                <w:lang w:eastAsia="zh-CN"/>
              </w:rPr>
              <w:t>提供投标人202</w:t>
            </w:r>
            <w:r>
              <w:rPr>
                <w:rFonts w:ascii="仿宋" w:hAnsi="仿宋" w:eastAsia="仿宋" w:cs="仿宋"/>
                <w:sz w:val="28"/>
                <w:szCs w:val="28"/>
                <w:lang w:val="en-US" w:eastAsia="zh-CN"/>
              </w:rPr>
              <w:t>1</w:t>
            </w:r>
            <w:r>
              <w:rPr>
                <w:rFonts w:ascii="仿宋" w:hAnsi="仿宋" w:eastAsia="仿宋" w:cs="仿宋"/>
                <w:sz w:val="28"/>
                <w:szCs w:val="28"/>
                <w:lang w:eastAsia="zh-CN"/>
              </w:rPr>
              <w:t>年1月1日以来（以合同签订时间为准）的类似项目业绩，每提供1份得</w:t>
            </w:r>
            <w:r>
              <w:rPr>
                <w:rFonts w:ascii="仿宋" w:hAnsi="仿宋" w:eastAsia="仿宋" w:cs="仿宋"/>
                <w:sz w:val="28"/>
                <w:szCs w:val="28"/>
                <w:lang w:val="en-US" w:eastAsia="zh-CN"/>
              </w:rPr>
              <w:t>2</w:t>
            </w:r>
            <w:r>
              <w:rPr>
                <w:rFonts w:ascii="仿宋" w:hAnsi="仿宋" w:eastAsia="仿宋" w:cs="仿宋"/>
                <w:sz w:val="28"/>
                <w:szCs w:val="28"/>
                <w:lang w:eastAsia="zh-CN"/>
              </w:rPr>
              <w:t>分，最高得</w:t>
            </w:r>
            <w:r>
              <w:rPr>
                <w:rFonts w:ascii="仿宋" w:hAnsi="仿宋" w:eastAsia="仿宋" w:cs="仿宋"/>
                <w:sz w:val="28"/>
                <w:szCs w:val="28"/>
                <w:lang w:val="en-US" w:eastAsia="zh-CN"/>
              </w:rPr>
              <w:t>6</w:t>
            </w:r>
            <w:r>
              <w:rPr>
                <w:rFonts w:ascii="仿宋" w:hAnsi="仿宋" w:eastAsia="仿宋" w:cs="仿宋"/>
                <w:sz w:val="28"/>
                <w:szCs w:val="28"/>
                <w:lang w:eastAsia="zh-CN"/>
              </w:rPr>
              <w:t>分。（完整业绩=合同+发票扫描件，业绩扫描不清楚、不完整或无法辨认的不予认可，虚假业绩将自行承担相关责任。</w:t>
            </w:r>
            <w:r>
              <w:rPr>
                <w:rFonts w:ascii="仿宋" w:hAnsi="仿宋" w:eastAsia="仿宋" w:cs="仿宋"/>
                <w:sz w:val="28"/>
                <w:szCs w:val="28"/>
              </w:rPr>
              <w:t>）</w:t>
            </w:r>
          </w:p>
        </w:tc>
        <w:tc>
          <w:tcPr>
            <w:tcW w:w="492" w:type="pct"/>
            <w:vAlign w:val="center"/>
          </w:tcPr>
          <w:p w14:paraId="369FA95E">
            <w:pPr>
              <w:spacing w:line="360" w:lineRule="auto"/>
              <w:jc w:val="center"/>
              <w:rPr>
                <w:rFonts w:ascii="仿宋" w:hAnsi="仿宋" w:eastAsia="仿宋" w:cs="仿宋"/>
                <w:sz w:val="28"/>
                <w:szCs w:val="28"/>
                <w:lang w:val="en-US"/>
              </w:rPr>
            </w:pPr>
            <w:r>
              <w:rPr>
                <w:rFonts w:ascii="仿宋" w:hAnsi="仿宋" w:eastAsia="仿宋" w:cs="仿宋"/>
                <w:sz w:val="28"/>
                <w:szCs w:val="28"/>
                <w:lang w:val="en-US" w:eastAsia="zh-CN"/>
              </w:rPr>
              <w:t>6</w:t>
            </w:r>
          </w:p>
        </w:tc>
      </w:tr>
      <w:tr w14:paraId="19E2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continue"/>
            <w:vAlign w:val="center"/>
          </w:tcPr>
          <w:p w14:paraId="5CEBB593">
            <w:pPr>
              <w:rPr>
                <w:rFonts w:ascii="仿宋" w:hAnsi="仿宋" w:eastAsia="仿宋" w:cs="仿宋"/>
                <w:sz w:val="28"/>
                <w:szCs w:val="28"/>
              </w:rPr>
            </w:pPr>
          </w:p>
        </w:tc>
        <w:tc>
          <w:tcPr>
            <w:tcW w:w="662" w:type="pct"/>
            <w:vAlign w:val="center"/>
          </w:tcPr>
          <w:p w14:paraId="79174D63">
            <w:pPr>
              <w:spacing w:line="360" w:lineRule="auto"/>
              <w:jc w:val="left"/>
              <w:rPr>
                <w:rFonts w:ascii="仿宋" w:hAnsi="仿宋" w:eastAsia="仿宋" w:cs="仿宋"/>
                <w:sz w:val="28"/>
                <w:szCs w:val="28"/>
                <w:lang w:val="en-US" w:eastAsia="zh-CN" w:bidi="zh-TW"/>
              </w:rPr>
            </w:pPr>
            <w:r>
              <w:rPr>
                <w:rFonts w:ascii="仿宋" w:hAnsi="仿宋" w:eastAsia="仿宋" w:cs="仿宋"/>
                <w:sz w:val="28"/>
                <w:szCs w:val="28"/>
              </w:rPr>
              <w:t>节能环保相关认证</w:t>
            </w:r>
          </w:p>
        </w:tc>
        <w:tc>
          <w:tcPr>
            <w:tcW w:w="3124" w:type="pct"/>
          </w:tcPr>
          <w:p w14:paraId="75244770">
            <w:pPr>
              <w:spacing w:line="360" w:lineRule="auto"/>
              <w:jc w:val="left"/>
              <w:rPr>
                <w:rFonts w:ascii="仿宋" w:hAnsi="仿宋" w:eastAsia="仿宋" w:cs="仿宋"/>
                <w:sz w:val="28"/>
                <w:szCs w:val="28"/>
                <w:lang w:val="en-US" w:eastAsia="zh-CN" w:bidi="zh-TW"/>
              </w:rPr>
            </w:pPr>
            <w:r>
              <w:rPr>
                <w:rFonts w:ascii="仿宋" w:hAnsi="仿宋" w:eastAsia="仿宋" w:cs="仿宋"/>
                <w:sz w:val="28"/>
                <w:szCs w:val="28"/>
                <w:lang w:eastAsia="zh-CN"/>
              </w:rPr>
              <w:t>本项目若含有节能产品、环境标志产品政府采购品目清单内政府优先采购产品，对选用国家公布的认证机构认证的处于有效期之内的政府优先采购节能产品（政府强制采购产品除外）、环境标志产品给予加分，每个证书</w:t>
            </w:r>
            <w:r>
              <w:rPr>
                <w:rFonts w:ascii="仿宋" w:hAnsi="仿宋" w:eastAsia="仿宋" w:cs="仿宋"/>
                <w:sz w:val="28"/>
                <w:szCs w:val="28"/>
                <w:lang w:val="en-US" w:eastAsia="zh-CN"/>
              </w:rPr>
              <w:t>1.5</w:t>
            </w:r>
            <w:r>
              <w:rPr>
                <w:rFonts w:ascii="仿宋" w:hAnsi="仿宋" w:eastAsia="仿宋" w:cs="仿宋"/>
                <w:sz w:val="28"/>
                <w:szCs w:val="28"/>
                <w:lang w:eastAsia="zh-CN"/>
              </w:rPr>
              <w:t>分，最多得</w:t>
            </w:r>
            <w:r>
              <w:rPr>
                <w:rFonts w:ascii="仿宋" w:hAnsi="仿宋" w:eastAsia="仿宋" w:cs="仿宋"/>
                <w:sz w:val="28"/>
                <w:szCs w:val="28"/>
                <w:lang w:val="en-US" w:eastAsia="zh-CN"/>
              </w:rPr>
              <w:t>3</w:t>
            </w:r>
            <w:r>
              <w:rPr>
                <w:rFonts w:ascii="仿宋" w:hAnsi="仿宋" w:eastAsia="仿宋" w:cs="仿宋"/>
                <w:sz w:val="28"/>
                <w:szCs w:val="28"/>
                <w:lang w:eastAsia="zh-CN"/>
              </w:rPr>
              <w:t>分。供应商应提供国家确定的认证机构出具的处于有效期之内的节能产品、环境标志产品认证证书。</w:t>
            </w:r>
          </w:p>
        </w:tc>
        <w:tc>
          <w:tcPr>
            <w:tcW w:w="492" w:type="pct"/>
            <w:vAlign w:val="center"/>
          </w:tcPr>
          <w:p w14:paraId="3ABB597D">
            <w:pPr>
              <w:spacing w:line="360" w:lineRule="auto"/>
              <w:jc w:val="center"/>
              <w:rPr>
                <w:rFonts w:ascii="仿宋" w:hAnsi="仿宋" w:eastAsia="仿宋" w:cs="仿宋"/>
                <w:sz w:val="28"/>
                <w:szCs w:val="28"/>
                <w:lang w:val="en-US" w:eastAsia="zh-CN"/>
              </w:rPr>
            </w:pPr>
            <w:r>
              <w:rPr>
                <w:rFonts w:ascii="仿宋" w:hAnsi="仿宋" w:eastAsia="仿宋" w:cs="仿宋"/>
                <w:sz w:val="28"/>
                <w:szCs w:val="28"/>
                <w:lang w:val="en-US" w:eastAsia="zh-CN"/>
              </w:rPr>
              <w:t>3</w:t>
            </w:r>
          </w:p>
        </w:tc>
      </w:tr>
      <w:tr w14:paraId="03CE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continue"/>
            <w:vAlign w:val="center"/>
          </w:tcPr>
          <w:p w14:paraId="3FC233E3">
            <w:pPr>
              <w:rPr>
                <w:rFonts w:ascii="仿宋" w:hAnsi="仿宋" w:eastAsia="仿宋" w:cs="仿宋"/>
                <w:sz w:val="28"/>
                <w:szCs w:val="28"/>
              </w:rPr>
            </w:pPr>
          </w:p>
        </w:tc>
        <w:tc>
          <w:tcPr>
            <w:tcW w:w="662" w:type="pct"/>
            <w:vAlign w:val="center"/>
          </w:tcPr>
          <w:p w14:paraId="77FF2631">
            <w:pPr>
              <w:spacing w:line="360" w:lineRule="auto"/>
              <w:jc w:val="left"/>
              <w:rPr>
                <w:rFonts w:ascii="仿宋" w:hAnsi="仿宋" w:eastAsia="仿宋" w:cs="仿宋"/>
                <w:sz w:val="28"/>
                <w:szCs w:val="28"/>
                <w:lang w:eastAsia="zh-CN"/>
              </w:rPr>
            </w:pPr>
            <w:r>
              <w:rPr>
                <w:rFonts w:ascii="仿宋" w:hAnsi="仿宋" w:eastAsia="仿宋" w:cs="仿宋"/>
                <w:sz w:val="28"/>
                <w:szCs w:val="28"/>
              </w:rPr>
              <w:t>快递包装</w:t>
            </w:r>
          </w:p>
        </w:tc>
        <w:tc>
          <w:tcPr>
            <w:tcW w:w="3124" w:type="pct"/>
            <w:vAlign w:val="center"/>
          </w:tcPr>
          <w:p w14:paraId="54FAC926">
            <w:pPr>
              <w:spacing w:line="360" w:lineRule="auto"/>
              <w:jc w:val="left"/>
              <w:rPr>
                <w:rFonts w:ascii="仿宋" w:hAnsi="仿宋" w:eastAsia="仿宋" w:cs="仿宋"/>
                <w:sz w:val="28"/>
                <w:szCs w:val="28"/>
                <w:lang w:val="en-US" w:eastAsia="zh-CN"/>
              </w:rPr>
            </w:pPr>
            <w:r>
              <w:rPr>
                <w:rFonts w:ascii="仿宋" w:hAnsi="仿宋" w:eastAsia="仿宋" w:cs="仿宋"/>
                <w:sz w:val="28"/>
                <w:szCs w:val="28"/>
                <w:lang w:val="en-US" w:eastAsia="zh-CN"/>
              </w:rPr>
              <w:t>投标人承诺商品包装符合《商品包装政府采购需求标准（试行）》且快递包装符合《快递包装政府采购需求标准（试行）》，得2分。</w:t>
            </w:r>
          </w:p>
        </w:tc>
        <w:tc>
          <w:tcPr>
            <w:tcW w:w="492" w:type="pct"/>
            <w:vAlign w:val="center"/>
          </w:tcPr>
          <w:p w14:paraId="5B79AB32">
            <w:pPr>
              <w:spacing w:line="360" w:lineRule="auto"/>
              <w:jc w:val="center"/>
              <w:rPr>
                <w:rFonts w:ascii="仿宋" w:hAnsi="仿宋" w:eastAsia="仿宋" w:cs="仿宋"/>
                <w:sz w:val="28"/>
                <w:szCs w:val="28"/>
                <w:lang w:val="en-US" w:eastAsia="zh-CN"/>
              </w:rPr>
            </w:pPr>
            <w:r>
              <w:rPr>
                <w:rFonts w:ascii="仿宋" w:hAnsi="仿宋" w:eastAsia="仿宋" w:cs="仿宋"/>
                <w:sz w:val="28"/>
                <w:szCs w:val="28"/>
                <w:lang w:val="en-US" w:eastAsia="zh-CN"/>
              </w:rPr>
              <w:t>2</w:t>
            </w:r>
          </w:p>
        </w:tc>
      </w:tr>
      <w:tr w14:paraId="55A05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continue"/>
            <w:vAlign w:val="center"/>
          </w:tcPr>
          <w:p w14:paraId="46E6D619">
            <w:pPr>
              <w:rPr>
                <w:rFonts w:ascii="仿宋" w:hAnsi="仿宋" w:eastAsia="仿宋" w:cs="仿宋"/>
                <w:sz w:val="28"/>
                <w:szCs w:val="28"/>
              </w:rPr>
            </w:pPr>
          </w:p>
        </w:tc>
        <w:tc>
          <w:tcPr>
            <w:tcW w:w="662" w:type="pct"/>
            <w:vAlign w:val="center"/>
          </w:tcPr>
          <w:p w14:paraId="73364505">
            <w:pPr>
              <w:spacing w:line="400" w:lineRule="exact"/>
              <w:rPr>
                <w:rFonts w:ascii="仿宋" w:hAnsi="仿宋" w:eastAsia="仿宋" w:cs="仿宋"/>
                <w:sz w:val="28"/>
                <w:szCs w:val="28"/>
              </w:rPr>
            </w:pPr>
            <w:r>
              <w:rPr>
                <w:rFonts w:ascii="仿宋" w:hAnsi="仿宋" w:eastAsia="仿宋" w:cs="仿宋"/>
                <w:sz w:val="28"/>
                <w:szCs w:val="28"/>
              </w:rPr>
              <w:t>实施方案</w:t>
            </w:r>
          </w:p>
        </w:tc>
        <w:tc>
          <w:tcPr>
            <w:tcW w:w="3124" w:type="pct"/>
            <w:vAlign w:val="center"/>
          </w:tcPr>
          <w:p w14:paraId="02F0F759">
            <w:pPr>
              <w:rPr>
                <w:rFonts w:ascii="仿宋" w:hAnsi="仿宋" w:eastAsia="仿宋" w:cs="仿宋"/>
                <w:sz w:val="28"/>
                <w:szCs w:val="28"/>
                <w:lang w:eastAsia="zh-CN"/>
              </w:rPr>
            </w:pPr>
            <w:r>
              <w:rPr>
                <w:rFonts w:ascii="仿宋" w:hAnsi="仿宋" w:eastAsia="仿宋" w:cs="仿宋"/>
                <w:sz w:val="28"/>
                <w:szCs w:val="28"/>
                <w:lang w:eastAsia="zh-CN"/>
              </w:rPr>
              <w:t>投标人提供项目实施方案的详细措施及具体方案（包括项目</w:t>
            </w:r>
            <w:r>
              <w:rPr>
                <w:rFonts w:ascii="仿宋" w:hAnsi="仿宋" w:eastAsia="仿宋" w:cs="仿宋"/>
                <w:sz w:val="28"/>
                <w:szCs w:val="28"/>
                <w:lang w:val="en-US" w:eastAsia="zh-CN"/>
              </w:rPr>
              <w:t>施工</w:t>
            </w:r>
            <w:r>
              <w:rPr>
                <w:rFonts w:ascii="仿宋" w:hAnsi="仿宋" w:eastAsia="仿宋" w:cs="仿宋"/>
                <w:sz w:val="28"/>
                <w:szCs w:val="28"/>
                <w:lang w:eastAsia="zh-CN"/>
              </w:rPr>
              <w:t>计划、</w:t>
            </w:r>
            <w:r>
              <w:rPr>
                <w:rFonts w:ascii="仿宋" w:hAnsi="仿宋" w:eastAsia="仿宋" w:cs="仿宋"/>
                <w:sz w:val="28"/>
                <w:szCs w:val="28"/>
                <w:lang w:val="en-US" w:eastAsia="zh-CN"/>
              </w:rPr>
              <w:t>组织管理机构</w:t>
            </w:r>
            <w:r>
              <w:rPr>
                <w:rFonts w:ascii="仿宋" w:hAnsi="仿宋" w:eastAsia="仿宋" w:cs="仿宋"/>
                <w:sz w:val="28"/>
                <w:szCs w:val="28"/>
                <w:lang w:eastAsia="zh-CN"/>
              </w:rPr>
              <w:t>、</w:t>
            </w:r>
            <w:r>
              <w:rPr>
                <w:rFonts w:ascii="仿宋" w:hAnsi="仿宋" w:eastAsia="仿宋" w:cs="仿宋"/>
                <w:sz w:val="28"/>
                <w:szCs w:val="28"/>
                <w:lang w:val="en-US" w:eastAsia="zh-CN"/>
              </w:rPr>
              <w:t>项目工期保障措施</w:t>
            </w:r>
            <w:r>
              <w:rPr>
                <w:rFonts w:ascii="仿宋" w:hAnsi="仿宋" w:eastAsia="仿宋" w:cs="仿宋"/>
                <w:sz w:val="28"/>
                <w:szCs w:val="28"/>
                <w:lang w:eastAsia="zh-CN"/>
              </w:rPr>
              <w:t>、</w:t>
            </w:r>
            <w:r>
              <w:rPr>
                <w:rFonts w:ascii="仿宋" w:hAnsi="仿宋" w:eastAsia="仿宋" w:cs="仿宋"/>
                <w:sz w:val="28"/>
                <w:szCs w:val="28"/>
                <w:lang w:val="en-US" w:eastAsia="zh-CN"/>
              </w:rPr>
              <w:t>质量保障措施</w:t>
            </w:r>
            <w:r>
              <w:rPr>
                <w:rFonts w:ascii="仿宋" w:hAnsi="仿宋" w:eastAsia="仿宋" w:cs="仿宋"/>
                <w:sz w:val="28"/>
                <w:szCs w:val="28"/>
                <w:lang w:eastAsia="zh-CN"/>
              </w:rPr>
              <w:t>等内容），评标委员会根据详细措施及具体方案是否科学合理、是否完整详尽、是否全面可靠等情况进行评审。</w:t>
            </w:r>
          </w:p>
          <w:p w14:paraId="03A9BEA6">
            <w:pPr>
              <w:rPr>
                <w:rFonts w:ascii="仿宋" w:hAnsi="仿宋" w:eastAsia="仿宋" w:cs="仿宋"/>
                <w:sz w:val="28"/>
                <w:szCs w:val="28"/>
                <w:lang w:eastAsia="zh-CN"/>
              </w:rPr>
            </w:pPr>
            <w:r>
              <w:rPr>
                <w:rFonts w:ascii="仿宋" w:hAnsi="仿宋" w:eastAsia="仿宋" w:cs="仿宋"/>
                <w:sz w:val="28"/>
                <w:szCs w:val="28"/>
                <w:lang w:eastAsia="zh-CN"/>
              </w:rPr>
              <w:t xml:space="preserve">投标人对每项内容论述详细，具有可操作性，完全贴合采购需求的得 </w:t>
            </w:r>
            <w:r>
              <w:rPr>
                <w:rFonts w:ascii="仿宋" w:hAnsi="仿宋" w:eastAsia="仿宋" w:cs="仿宋"/>
                <w:sz w:val="28"/>
                <w:szCs w:val="28"/>
                <w:lang w:val="en-US" w:eastAsia="zh-CN"/>
              </w:rPr>
              <w:t>8</w:t>
            </w:r>
            <w:r>
              <w:rPr>
                <w:rFonts w:ascii="仿宋" w:hAnsi="仿宋" w:eastAsia="仿宋" w:cs="仿宋"/>
                <w:sz w:val="28"/>
                <w:szCs w:val="28"/>
                <w:lang w:eastAsia="zh-CN"/>
              </w:rPr>
              <w:t xml:space="preserve"> 分；投标人对每项内容虽阐述但未贴合采购需求进行论述，或内容未包括具体细节的得 </w:t>
            </w:r>
            <w:r>
              <w:rPr>
                <w:rFonts w:ascii="仿宋" w:hAnsi="仿宋" w:eastAsia="仿宋" w:cs="仿宋"/>
                <w:sz w:val="28"/>
                <w:szCs w:val="28"/>
                <w:lang w:val="en-US" w:eastAsia="zh-CN"/>
              </w:rPr>
              <w:t>5</w:t>
            </w:r>
            <w:r>
              <w:rPr>
                <w:rFonts w:ascii="仿宋" w:hAnsi="仿宋" w:eastAsia="仿宋" w:cs="仿宋"/>
                <w:sz w:val="28"/>
                <w:szCs w:val="28"/>
                <w:lang w:eastAsia="zh-CN"/>
              </w:rPr>
              <w:t xml:space="preserve"> 分；投标人提供的内容不完整或存在明显缺陷的得 </w:t>
            </w:r>
            <w:r>
              <w:rPr>
                <w:rFonts w:ascii="仿宋" w:hAnsi="仿宋" w:eastAsia="仿宋" w:cs="仿宋"/>
                <w:sz w:val="28"/>
                <w:szCs w:val="28"/>
                <w:lang w:val="en-US" w:eastAsia="zh-CN"/>
              </w:rPr>
              <w:t>2</w:t>
            </w:r>
            <w:r>
              <w:rPr>
                <w:rFonts w:ascii="仿宋" w:hAnsi="仿宋" w:eastAsia="仿宋" w:cs="仿宋"/>
                <w:sz w:val="28"/>
                <w:szCs w:val="28"/>
                <w:lang w:eastAsia="zh-CN"/>
              </w:rPr>
              <w:t xml:space="preserve"> 分；未提供应相关内容的得0分。</w:t>
            </w:r>
          </w:p>
        </w:tc>
        <w:tc>
          <w:tcPr>
            <w:tcW w:w="492" w:type="pct"/>
            <w:vAlign w:val="center"/>
          </w:tcPr>
          <w:p w14:paraId="66EE1EAA">
            <w:pPr>
              <w:spacing w:line="360" w:lineRule="auto"/>
              <w:jc w:val="center"/>
              <w:rPr>
                <w:rFonts w:ascii="仿宋" w:hAnsi="仿宋" w:eastAsia="仿宋" w:cs="仿宋"/>
                <w:sz w:val="28"/>
                <w:szCs w:val="28"/>
                <w:lang w:val="en-US" w:eastAsia="zh-CN"/>
              </w:rPr>
            </w:pPr>
            <w:r>
              <w:rPr>
                <w:rFonts w:ascii="仿宋" w:hAnsi="仿宋" w:eastAsia="仿宋" w:cs="仿宋"/>
                <w:sz w:val="28"/>
                <w:szCs w:val="28"/>
                <w:lang w:val="en-US" w:eastAsia="zh-CN"/>
              </w:rPr>
              <w:t>8</w:t>
            </w:r>
          </w:p>
        </w:tc>
      </w:tr>
      <w:tr w14:paraId="74363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continue"/>
            <w:vAlign w:val="center"/>
          </w:tcPr>
          <w:p w14:paraId="36280C69">
            <w:pPr>
              <w:rPr>
                <w:rFonts w:ascii="仿宋" w:hAnsi="仿宋" w:eastAsia="仿宋" w:cs="仿宋"/>
                <w:sz w:val="28"/>
                <w:szCs w:val="28"/>
              </w:rPr>
            </w:pPr>
          </w:p>
        </w:tc>
        <w:tc>
          <w:tcPr>
            <w:tcW w:w="662" w:type="pct"/>
            <w:vAlign w:val="center"/>
          </w:tcPr>
          <w:p w14:paraId="4D2C36CE">
            <w:pPr>
              <w:pStyle w:val="22"/>
              <w:ind w:left="0" w:leftChars="0"/>
              <w:rPr>
                <w:rFonts w:ascii="仿宋" w:hAnsi="仿宋" w:eastAsia="仿宋" w:cs="仿宋"/>
                <w:sz w:val="28"/>
                <w:szCs w:val="28"/>
              </w:rPr>
            </w:pPr>
            <w:r>
              <w:rPr>
                <w:rFonts w:ascii="仿宋" w:hAnsi="仿宋" w:eastAsia="仿宋" w:cs="仿宋"/>
                <w:sz w:val="28"/>
                <w:szCs w:val="28"/>
              </w:rPr>
              <w:t>培训方案</w:t>
            </w:r>
          </w:p>
        </w:tc>
        <w:tc>
          <w:tcPr>
            <w:tcW w:w="3124" w:type="pct"/>
            <w:vAlign w:val="center"/>
          </w:tcPr>
          <w:p w14:paraId="37E39F04">
            <w:pPr>
              <w:spacing w:line="400" w:lineRule="exact"/>
              <w:rPr>
                <w:rFonts w:ascii="仿宋" w:hAnsi="仿宋" w:eastAsia="仿宋" w:cs="仿宋"/>
                <w:sz w:val="28"/>
                <w:szCs w:val="28"/>
                <w:lang w:eastAsia="zh-CN"/>
              </w:rPr>
            </w:pPr>
            <w:r>
              <w:rPr>
                <w:rFonts w:ascii="仿宋" w:hAnsi="仿宋" w:eastAsia="仿宋" w:cs="仿宋"/>
                <w:sz w:val="28"/>
                <w:szCs w:val="28"/>
                <w:lang w:eastAsia="zh-CN"/>
              </w:rPr>
              <w:t>投标人根据采购文件要求和理解，制定出符合本项目的培训</w:t>
            </w:r>
            <w:r>
              <w:rPr>
                <w:rFonts w:ascii="仿宋" w:hAnsi="仿宋" w:eastAsia="仿宋" w:cs="仿宋"/>
                <w:sz w:val="28"/>
                <w:szCs w:val="28"/>
                <w:lang w:val="en-US" w:eastAsia="zh-CN"/>
              </w:rPr>
              <w:t>目标</w:t>
            </w:r>
            <w:r>
              <w:rPr>
                <w:rFonts w:ascii="仿宋" w:hAnsi="仿宋" w:eastAsia="仿宋" w:cs="仿宋"/>
                <w:sz w:val="28"/>
                <w:szCs w:val="28"/>
                <w:lang w:eastAsia="zh-CN"/>
              </w:rPr>
              <w:t>、</w:t>
            </w:r>
            <w:r>
              <w:rPr>
                <w:rFonts w:ascii="仿宋" w:hAnsi="仿宋" w:eastAsia="仿宋" w:cs="仿宋"/>
                <w:sz w:val="28"/>
                <w:szCs w:val="28"/>
                <w:lang w:val="en-US" w:eastAsia="zh-CN"/>
              </w:rPr>
              <w:t>课程内容</w:t>
            </w:r>
            <w:r>
              <w:rPr>
                <w:rFonts w:ascii="仿宋" w:hAnsi="仿宋" w:eastAsia="仿宋" w:cs="仿宋"/>
                <w:sz w:val="28"/>
                <w:szCs w:val="28"/>
                <w:lang w:eastAsia="zh-CN"/>
              </w:rPr>
              <w:t>以及</w:t>
            </w:r>
            <w:r>
              <w:rPr>
                <w:rFonts w:ascii="仿宋" w:hAnsi="仿宋" w:eastAsia="仿宋" w:cs="仿宋"/>
                <w:sz w:val="28"/>
                <w:szCs w:val="28"/>
                <w:lang w:val="en-US" w:eastAsia="zh-CN"/>
              </w:rPr>
              <w:t>人员配置</w:t>
            </w:r>
            <w:r>
              <w:rPr>
                <w:rFonts w:ascii="仿宋" w:hAnsi="仿宋" w:eastAsia="仿宋" w:cs="仿宋"/>
                <w:sz w:val="28"/>
                <w:szCs w:val="28"/>
                <w:lang w:eastAsia="zh-CN"/>
              </w:rPr>
              <w:t>等方案。</w:t>
            </w:r>
          </w:p>
          <w:p w14:paraId="441BBE8D">
            <w:pPr>
              <w:rPr>
                <w:rFonts w:ascii="仿宋" w:hAnsi="仿宋" w:eastAsia="仿宋" w:cs="仿宋"/>
                <w:sz w:val="28"/>
                <w:szCs w:val="28"/>
                <w:lang w:eastAsia="zh-CN"/>
              </w:rPr>
            </w:pPr>
            <w:r>
              <w:rPr>
                <w:rFonts w:ascii="仿宋" w:hAnsi="仿宋" w:eastAsia="仿宋" w:cs="仿宋"/>
                <w:sz w:val="28"/>
                <w:szCs w:val="28"/>
                <w:lang w:eastAsia="zh-CN"/>
              </w:rPr>
              <w:t xml:space="preserve">投标人对每项内容论述详细，具有可操作性，完全贴合采购需求的得 </w:t>
            </w:r>
            <w:r>
              <w:rPr>
                <w:rFonts w:ascii="仿宋" w:hAnsi="仿宋" w:eastAsia="仿宋" w:cs="仿宋"/>
                <w:sz w:val="28"/>
                <w:szCs w:val="28"/>
                <w:lang w:val="en-US" w:eastAsia="zh-CN"/>
              </w:rPr>
              <w:t>8</w:t>
            </w:r>
            <w:r>
              <w:rPr>
                <w:rFonts w:ascii="仿宋" w:hAnsi="仿宋" w:eastAsia="仿宋" w:cs="仿宋"/>
                <w:sz w:val="28"/>
                <w:szCs w:val="28"/>
                <w:lang w:eastAsia="zh-CN"/>
              </w:rPr>
              <w:t xml:space="preserve"> 分；投标人对每项内容虽阐述但未贴合采购需求进行论述，或内容未包括具体细节的得 </w:t>
            </w:r>
            <w:r>
              <w:rPr>
                <w:rFonts w:ascii="仿宋" w:hAnsi="仿宋" w:eastAsia="仿宋" w:cs="仿宋"/>
                <w:sz w:val="28"/>
                <w:szCs w:val="28"/>
                <w:lang w:val="en-US" w:eastAsia="zh-CN"/>
              </w:rPr>
              <w:t>5</w:t>
            </w:r>
            <w:r>
              <w:rPr>
                <w:rFonts w:ascii="仿宋" w:hAnsi="仿宋" w:eastAsia="仿宋" w:cs="仿宋"/>
                <w:sz w:val="28"/>
                <w:szCs w:val="28"/>
                <w:lang w:eastAsia="zh-CN"/>
              </w:rPr>
              <w:t xml:space="preserve"> 分；投标人提供的内容不完整或存在明显缺陷的得 </w:t>
            </w:r>
            <w:r>
              <w:rPr>
                <w:rFonts w:ascii="仿宋" w:hAnsi="仿宋" w:eastAsia="仿宋" w:cs="仿宋"/>
                <w:sz w:val="28"/>
                <w:szCs w:val="28"/>
                <w:lang w:val="en-US" w:eastAsia="zh-CN"/>
              </w:rPr>
              <w:t>2</w:t>
            </w:r>
            <w:r>
              <w:rPr>
                <w:rFonts w:ascii="仿宋" w:hAnsi="仿宋" w:eastAsia="仿宋" w:cs="仿宋"/>
                <w:sz w:val="28"/>
                <w:szCs w:val="28"/>
                <w:lang w:eastAsia="zh-CN"/>
              </w:rPr>
              <w:t xml:space="preserve"> 分；未提供应相关内容的得0分。</w:t>
            </w:r>
          </w:p>
        </w:tc>
        <w:tc>
          <w:tcPr>
            <w:tcW w:w="492" w:type="pct"/>
            <w:vAlign w:val="center"/>
          </w:tcPr>
          <w:p w14:paraId="43546FFC">
            <w:pPr>
              <w:jc w:val="center"/>
              <w:rPr>
                <w:rFonts w:ascii="仿宋" w:hAnsi="仿宋" w:eastAsia="仿宋" w:cs="仿宋"/>
                <w:sz w:val="28"/>
                <w:szCs w:val="28"/>
                <w:lang w:val="en-US" w:eastAsia="zh-CN"/>
              </w:rPr>
            </w:pPr>
            <w:r>
              <w:rPr>
                <w:rFonts w:ascii="仿宋" w:hAnsi="仿宋" w:eastAsia="仿宋" w:cs="仿宋"/>
                <w:sz w:val="28"/>
                <w:szCs w:val="28"/>
                <w:lang w:val="en-US" w:eastAsia="zh-CN"/>
              </w:rPr>
              <w:t>8</w:t>
            </w:r>
          </w:p>
        </w:tc>
      </w:tr>
      <w:tr w14:paraId="3D80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continue"/>
            <w:vAlign w:val="center"/>
          </w:tcPr>
          <w:p w14:paraId="5EB69D24">
            <w:pPr>
              <w:rPr>
                <w:rFonts w:ascii="仿宋" w:hAnsi="仿宋" w:eastAsia="仿宋" w:cs="仿宋"/>
                <w:sz w:val="28"/>
                <w:szCs w:val="28"/>
              </w:rPr>
            </w:pPr>
          </w:p>
        </w:tc>
        <w:tc>
          <w:tcPr>
            <w:tcW w:w="662" w:type="pct"/>
            <w:vAlign w:val="center"/>
          </w:tcPr>
          <w:p w14:paraId="718AD064">
            <w:pPr>
              <w:jc w:val="center"/>
              <w:rPr>
                <w:rFonts w:ascii="仿宋" w:hAnsi="仿宋" w:eastAsia="仿宋" w:cs="仿宋"/>
                <w:sz w:val="28"/>
                <w:szCs w:val="28"/>
              </w:rPr>
            </w:pPr>
            <w:r>
              <w:rPr>
                <w:rFonts w:ascii="仿宋" w:hAnsi="仿宋" w:eastAsia="仿宋" w:cs="仿宋"/>
                <w:sz w:val="28"/>
                <w:szCs w:val="28"/>
              </w:rPr>
              <w:t>售后服务</w:t>
            </w:r>
          </w:p>
        </w:tc>
        <w:tc>
          <w:tcPr>
            <w:tcW w:w="3124" w:type="pct"/>
            <w:vAlign w:val="center"/>
          </w:tcPr>
          <w:p w14:paraId="7F553508">
            <w:pPr>
              <w:rPr>
                <w:rFonts w:ascii="仿宋" w:hAnsi="仿宋" w:eastAsia="仿宋" w:cs="仿宋"/>
                <w:sz w:val="28"/>
                <w:szCs w:val="28"/>
                <w:lang w:eastAsia="zh-CN"/>
              </w:rPr>
            </w:pPr>
            <w:r>
              <w:rPr>
                <w:rFonts w:ascii="仿宋" w:hAnsi="仿宋" w:eastAsia="仿宋" w:cs="仿宋"/>
                <w:sz w:val="28"/>
                <w:szCs w:val="28"/>
                <w:lang w:eastAsia="zh-CN"/>
              </w:rPr>
              <w:t>投标人结合采购需求，针对本项目的实际情况，提供详细的售后服务方案，包括但不限于售后服务内容、</w:t>
            </w:r>
            <w:r>
              <w:rPr>
                <w:rFonts w:ascii="仿宋" w:hAnsi="仿宋" w:eastAsia="仿宋" w:cs="仿宋"/>
                <w:sz w:val="28"/>
                <w:szCs w:val="28"/>
                <w:lang w:val="en-US" w:eastAsia="zh-CN"/>
              </w:rPr>
              <w:t>团队</w:t>
            </w:r>
            <w:r>
              <w:rPr>
                <w:rFonts w:ascii="仿宋" w:hAnsi="仿宋" w:eastAsia="仿宋" w:cs="仿宋"/>
                <w:sz w:val="28"/>
                <w:szCs w:val="28"/>
                <w:lang w:eastAsia="zh-CN"/>
              </w:rPr>
              <w:t>、服务质量保证等。</w:t>
            </w:r>
          </w:p>
          <w:p w14:paraId="651B9122">
            <w:pPr>
              <w:rPr>
                <w:rFonts w:ascii="仿宋" w:hAnsi="仿宋" w:eastAsia="仿宋" w:cs="仿宋"/>
                <w:sz w:val="28"/>
                <w:szCs w:val="28"/>
                <w:lang w:eastAsia="zh-CN"/>
              </w:rPr>
            </w:pPr>
            <w:r>
              <w:rPr>
                <w:rFonts w:ascii="仿宋" w:hAnsi="仿宋" w:eastAsia="仿宋" w:cs="仿宋"/>
                <w:sz w:val="28"/>
                <w:szCs w:val="28"/>
                <w:lang w:eastAsia="zh-CN"/>
              </w:rPr>
              <w:t>评标委员会根据供应商提供的售后服务方案的完整性、可行性等进行综合评价：</w:t>
            </w:r>
          </w:p>
          <w:p w14:paraId="7C6ABBE6">
            <w:pPr>
              <w:rPr>
                <w:rFonts w:ascii="仿宋" w:hAnsi="仿宋" w:eastAsia="仿宋" w:cs="仿宋"/>
                <w:sz w:val="28"/>
                <w:szCs w:val="28"/>
                <w:lang w:eastAsia="zh-CN"/>
              </w:rPr>
            </w:pPr>
            <w:r>
              <w:rPr>
                <w:rFonts w:ascii="仿宋" w:hAnsi="仿宋" w:eastAsia="仿宋" w:cs="仿宋"/>
                <w:sz w:val="28"/>
                <w:szCs w:val="28"/>
                <w:lang w:eastAsia="zh-CN"/>
              </w:rPr>
              <w:t xml:space="preserve">投标人对每项内容论述详细，具有可操作性，完全贴合采购需求的得 </w:t>
            </w:r>
            <w:r>
              <w:rPr>
                <w:rFonts w:ascii="仿宋" w:hAnsi="仿宋" w:eastAsia="仿宋" w:cs="仿宋"/>
                <w:sz w:val="28"/>
                <w:szCs w:val="28"/>
                <w:lang w:val="en-US" w:eastAsia="zh-CN"/>
              </w:rPr>
              <w:t>8</w:t>
            </w:r>
            <w:r>
              <w:rPr>
                <w:rFonts w:ascii="仿宋" w:hAnsi="仿宋" w:eastAsia="仿宋" w:cs="仿宋"/>
                <w:sz w:val="28"/>
                <w:szCs w:val="28"/>
                <w:lang w:eastAsia="zh-CN"/>
              </w:rPr>
              <w:t xml:space="preserve"> 分；投标人对每项内容虽阐述但未贴合采购需求进行论述，或内容未包括具体细节的得 </w:t>
            </w:r>
            <w:r>
              <w:rPr>
                <w:rFonts w:ascii="仿宋" w:hAnsi="仿宋" w:eastAsia="仿宋" w:cs="仿宋"/>
                <w:sz w:val="28"/>
                <w:szCs w:val="28"/>
                <w:lang w:val="en-US" w:eastAsia="zh-CN"/>
              </w:rPr>
              <w:t>5</w:t>
            </w:r>
            <w:r>
              <w:rPr>
                <w:rFonts w:ascii="仿宋" w:hAnsi="仿宋" w:eastAsia="仿宋" w:cs="仿宋"/>
                <w:sz w:val="28"/>
                <w:szCs w:val="28"/>
                <w:lang w:eastAsia="zh-CN"/>
              </w:rPr>
              <w:t xml:space="preserve"> 分；投标人提供的内容不完整或存在明显缺陷的得 </w:t>
            </w:r>
            <w:r>
              <w:rPr>
                <w:rFonts w:ascii="仿宋" w:hAnsi="仿宋" w:eastAsia="仿宋" w:cs="仿宋"/>
                <w:sz w:val="28"/>
                <w:szCs w:val="28"/>
                <w:lang w:val="en-US" w:eastAsia="zh-CN"/>
              </w:rPr>
              <w:t>2</w:t>
            </w:r>
            <w:r>
              <w:rPr>
                <w:rFonts w:ascii="仿宋" w:hAnsi="仿宋" w:eastAsia="仿宋" w:cs="仿宋"/>
                <w:sz w:val="28"/>
                <w:szCs w:val="28"/>
                <w:lang w:eastAsia="zh-CN"/>
              </w:rPr>
              <w:t xml:space="preserve"> 分；未提供应相关内容的得0分。</w:t>
            </w:r>
          </w:p>
        </w:tc>
        <w:tc>
          <w:tcPr>
            <w:tcW w:w="492" w:type="pct"/>
            <w:vAlign w:val="center"/>
          </w:tcPr>
          <w:p w14:paraId="6AF4F42A">
            <w:pPr>
              <w:spacing w:line="360" w:lineRule="auto"/>
              <w:jc w:val="center"/>
              <w:rPr>
                <w:rFonts w:ascii="仿宋" w:hAnsi="仿宋" w:eastAsia="仿宋" w:cs="仿宋"/>
                <w:sz w:val="28"/>
                <w:szCs w:val="28"/>
                <w:lang w:eastAsia="zh-CN"/>
              </w:rPr>
            </w:pPr>
            <w:r>
              <w:rPr>
                <w:rFonts w:ascii="仿宋" w:hAnsi="仿宋" w:eastAsia="仿宋" w:cs="仿宋"/>
                <w:sz w:val="28"/>
                <w:szCs w:val="28"/>
                <w:lang w:val="en-US" w:eastAsia="zh-CN"/>
              </w:rPr>
              <w:t>8</w:t>
            </w:r>
          </w:p>
        </w:tc>
      </w:tr>
    </w:tbl>
    <w:p w14:paraId="0EFE8200">
      <w:pPr>
        <w:rPr>
          <w:lang w:val="en-US" w:eastAsia="zh-CN"/>
        </w:rPr>
      </w:pPr>
    </w:p>
    <w:bookmarkEnd w:id="492"/>
    <w:bookmarkEnd w:id="493"/>
    <w:p w14:paraId="44B3DF1D">
      <w:pPr>
        <w:jc w:val="center"/>
        <w:outlineLvl w:val="0"/>
        <w:rPr>
          <w:rFonts w:hint="default" w:ascii="Times New Roman" w:hAnsi="Times New Roman" w:eastAsia="宋体" w:cs="Times New Roman"/>
          <w:b/>
          <w:bCs/>
          <w:color w:val="auto"/>
          <w:kern w:val="44"/>
          <w:sz w:val="36"/>
          <w:szCs w:val="36"/>
          <w:lang w:eastAsia="zh-CN"/>
        </w:rPr>
      </w:pPr>
      <w:bookmarkStart w:id="494" w:name="_Toc2046937450_WPSOffice_Level1"/>
      <w:bookmarkStart w:id="495" w:name="_Toc1871798156"/>
      <w:bookmarkStart w:id="496" w:name="_Toc1076969064"/>
      <w:bookmarkStart w:id="497" w:name="_Toc15802"/>
      <w:bookmarkStart w:id="498" w:name="_Toc555660728_WPSOffice_Level1"/>
      <w:bookmarkStart w:id="499" w:name="_Toc1424279934_WPSOffice_Level1"/>
      <w:bookmarkStart w:id="500" w:name="_Toc937079805"/>
      <w:bookmarkStart w:id="501" w:name="_Toc368094096_WPSOffice_Level1"/>
      <w:bookmarkStart w:id="502" w:name="_Toc1252040209_WPSOffice_Level1"/>
      <w:bookmarkStart w:id="503" w:name="_Toc170276657"/>
      <w:bookmarkStart w:id="504" w:name="_Toc1027165614"/>
      <w:bookmarkStart w:id="505" w:name="_Toc816670296"/>
      <w:bookmarkStart w:id="506" w:name="_Toc1357609763"/>
      <w:r>
        <w:rPr>
          <w:rFonts w:hint="default" w:ascii="Times New Roman" w:hAnsi="Times New Roman" w:eastAsia="宋体" w:cs="Times New Roman"/>
          <w:b/>
          <w:bCs/>
          <w:color w:val="auto"/>
          <w:kern w:val="44"/>
          <w:sz w:val="36"/>
          <w:szCs w:val="36"/>
          <w:lang w:val="en-US" w:eastAsia="zh-CN"/>
        </w:rPr>
        <w:br w:type="page"/>
      </w:r>
      <w:r>
        <w:rPr>
          <w:rFonts w:hint="default" w:ascii="Times New Roman" w:hAnsi="Times New Roman" w:eastAsia="宋体" w:cs="Times New Roman"/>
          <w:b/>
          <w:bCs/>
          <w:color w:val="auto"/>
          <w:kern w:val="44"/>
          <w:sz w:val="36"/>
          <w:szCs w:val="36"/>
          <w:lang w:val="en-US" w:eastAsia="zh-CN"/>
        </w:rPr>
        <w:t xml:space="preserve">第八章 </w:t>
      </w:r>
      <w:r>
        <w:rPr>
          <w:rFonts w:hint="default" w:ascii="Times New Roman" w:hAnsi="Times New Roman" w:eastAsia="宋体" w:cs="Times New Roman"/>
          <w:b/>
          <w:bCs/>
          <w:color w:val="auto"/>
          <w:kern w:val="44"/>
          <w:sz w:val="36"/>
          <w:szCs w:val="36"/>
          <w:lang w:eastAsia="zh-CN"/>
        </w:rPr>
        <w:t>政府采购合同</w:t>
      </w:r>
      <w:bookmarkEnd w:id="494"/>
      <w:bookmarkEnd w:id="495"/>
      <w:bookmarkEnd w:id="496"/>
      <w:bookmarkEnd w:id="497"/>
      <w:bookmarkEnd w:id="498"/>
      <w:bookmarkEnd w:id="499"/>
      <w:bookmarkEnd w:id="500"/>
      <w:bookmarkEnd w:id="501"/>
      <w:bookmarkEnd w:id="502"/>
      <w:bookmarkEnd w:id="503"/>
      <w:bookmarkEnd w:id="504"/>
      <w:bookmarkEnd w:id="505"/>
      <w:bookmarkEnd w:id="506"/>
    </w:p>
    <w:p w14:paraId="35F76DA5">
      <w:pPr>
        <w:widowControl w:val="0"/>
        <w:spacing w:after="0" w:line="240" w:lineRule="auto"/>
        <w:jc w:val="center"/>
        <w:rPr>
          <w:rFonts w:ascii="宋体" w:hAnsi="宋体" w:eastAsia="宋体" w:cs="宋体"/>
          <w:b/>
          <w:bCs/>
          <w:spacing w:val="-20"/>
          <w:kern w:val="44"/>
          <w:sz w:val="48"/>
          <w:szCs w:val="48"/>
          <w:lang w:val="en-US" w:eastAsia="zh-CN"/>
        </w:rPr>
      </w:pPr>
      <w:bookmarkStart w:id="507" w:name="_Toc3995"/>
    </w:p>
    <w:p w14:paraId="06FCA841">
      <w:pPr>
        <w:widowControl w:val="0"/>
        <w:spacing w:after="0" w:line="240" w:lineRule="auto"/>
        <w:jc w:val="center"/>
        <w:rPr>
          <w:rFonts w:ascii="宋体" w:hAnsi="宋体" w:eastAsia="宋体" w:cs="宋体"/>
          <w:b/>
          <w:bCs/>
          <w:spacing w:val="-20"/>
          <w:kern w:val="44"/>
          <w:sz w:val="48"/>
          <w:szCs w:val="48"/>
          <w:lang w:val="en-US" w:eastAsia="zh-CN"/>
        </w:rPr>
      </w:pPr>
    </w:p>
    <w:p w14:paraId="18339412">
      <w:pPr>
        <w:widowControl w:val="0"/>
        <w:spacing w:after="0" w:line="240" w:lineRule="auto"/>
        <w:jc w:val="center"/>
        <w:rPr>
          <w:rFonts w:ascii="宋体" w:hAnsi="宋体" w:eastAsia="宋体" w:cs="宋体"/>
          <w:b/>
          <w:bCs/>
          <w:spacing w:val="-20"/>
          <w:kern w:val="44"/>
          <w:sz w:val="48"/>
          <w:szCs w:val="48"/>
          <w:lang w:val="en-US" w:eastAsia="zh-CN"/>
        </w:rPr>
      </w:pPr>
    </w:p>
    <w:p w14:paraId="130DD926">
      <w:pPr>
        <w:widowControl w:val="0"/>
        <w:spacing w:after="0" w:line="240" w:lineRule="auto"/>
        <w:jc w:val="center"/>
        <w:rPr>
          <w:rFonts w:ascii="宋体" w:hAnsi="宋体" w:eastAsia="宋体" w:cs="宋体"/>
          <w:b/>
          <w:bCs/>
          <w:spacing w:val="-20"/>
          <w:kern w:val="44"/>
          <w:sz w:val="48"/>
          <w:szCs w:val="48"/>
          <w:lang w:val="en-US" w:eastAsia="zh-CN"/>
        </w:rPr>
      </w:pPr>
      <w:r>
        <w:rPr>
          <w:rFonts w:ascii="宋体" w:hAnsi="宋体" w:eastAsia="宋体" w:cs="宋体"/>
          <w:b/>
          <w:bCs/>
          <w:spacing w:val="-20"/>
          <w:kern w:val="44"/>
          <w:sz w:val="48"/>
          <w:szCs w:val="48"/>
          <w:lang w:val="en-US" w:eastAsia="zh-CN"/>
        </w:rPr>
        <w:t>政府采购货物买卖合同</w:t>
      </w:r>
    </w:p>
    <w:p w14:paraId="285659C7">
      <w:pPr>
        <w:widowControl w:val="0"/>
        <w:spacing w:after="0" w:line="240" w:lineRule="auto"/>
        <w:rPr>
          <w:rFonts w:ascii="宋体" w:hAnsi="宋体" w:eastAsia="宋体" w:cs="宋体"/>
          <w:b/>
          <w:bCs/>
          <w:spacing w:val="-20"/>
          <w:kern w:val="44"/>
          <w:sz w:val="40"/>
          <w:szCs w:val="40"/>
          <w:lang w:val="en-US" w:eastAsia="zh-CN"/>
        </w:rPr>
      </w:pPr>
    </w:p>
    <w:p w14:paraId="5B0D59AA">
      <w:pPr>
        <w:pStyle w:val="12"/>
        <w:ind w:left="278"/>
        <w:rPr>
          <w:lang w:val="en-US" w:eastAsia="zh-CN"/>
        </w:rPr>
      </w:pPr>
    </w:p>
    <w:p w14:paraId="2C6AF4E1">
      <w:pPr>
        <w:widowControl w:val="0"/>
        <w:spacing w:after="0" w:line="240" w:lineRule="auto"/>
        <w:rPr>
          <w:rFonts w:ascii="宋体" w:hAnsi="宋体" w:eastAsia="宋体" w:cs="宋体"/>
          <w:b/>
          <w:bCs/>
          <w:spacing w:val="-20"/>
          <w:kern w:val="44"/>
          <w:sz w:val="40"/>
          <w:szCs w:val="40"/>
          <w:lang w:val="en-US" w:eastAsia="zh-CN"/>
        </w:rPr>
      </w:pPr>
    </w:p>
    <w:p w14:paraId="0F61FF6A">
      <w:pPr>
        <w:widowControl w:val="0"/>
        <w:spacing w:after="0" w:line="240" w:lineRule="auto"/>
        <w:rPr>
          <w:rFonts w:ascii="宋体" w:hAnsi="宋体" w:eastAsia="宋体" w:cs="宋体"/>
          <w:b/>
          <w:bCs/>
          <w:spacing w:val="-20"/>
          <w:kern w:val="44"/>
          <w:sz w:val="40"/>
          <w:szCs w:val="40"/>
          <w:lang w:val="en-US" w:eastAsia="zh-CN"/>
        </w:rPr>
      </w:pPr>
    </w:p>
    <w:p w14:paraId="787A1378">
      <w:pPr>
        <w:widowControl w:val="0"/>
        <w:spacing w:after="0" w:line="360" w:lineRule="auto"/>
        <w:ind w:left="1600" w:hanging="1600" w:hangingChars="500"/>
        <w:rPr>
          <w:rFonts w:hint="default" w:ascii="Times New Roman" w:hAnsi="Times New Roman" w:eastAsia="宋体" w:cs="Times New Roman"/>
          <w:sz w:val="32"/>
          <w:szCs w:val="32"/>
          <w:lang w:val="en-US" w:eastAsia="zh-CN"/>
        </w:rPr>
      </w:pPr>
      <w:r>
        <w:rPr>
          <w:rFonts w:ascii="宋体" w:hAnsi="宋体" w:eastAsia="宋体" w:cs="宋体"/>
          <w:kern w:val="0"/>
          <w:sz w:val="32"/>
          <w:szCs w:val="32"/>
          <w:lang w:val="en-US" w:eastAsia="zh-CN"/>
        </w:rPr>
        <w:t>项目名称：</w:t>
      </w:r>
      <w:r>
        <w:rPr>
          <w:rFonts w:ascii="Times New Roman" w:hAnsi="Times New Roman" w:eastAsia="宋体" w:cs="Times New Roman"/>
          <w:sz w:val="32"/>
          <w:szCs w:val="32"/>
          <w:u w:val="single"/>
          <w:lang w:val="en-US" w:eastAsia="zh-CN"/>
        </w:rPr>
        <w:t xml:space="preserve"> </w:t>
      </w:r>
      <w:r>
        <w:rPr>
          <w:rFonts w:ascii="Times New Roman" w:hAnsi="Times New Roman" w:eastAsia="宋体" w:cs="Times New Roman"/>
          <w:sz w:val="32"/>
          <w:szCs w:val="32"/>
          <w:u w:val="single"/>
          <w:lang w:val="en" w:eastAsia="zh-CN"/>
        </w:rPr>
        <w:t>新乡医学院第一附属医院信息化基础设施及安全能力提升项目</w:t>
      </w:r>
      <w:r>
        <w:rPr>
          <w:rFonts w:ascii="Times New Roman" w:hAnsi="Times New Roman" w:eastAsia="宋体" w:cs="Times New Roman"/>
          <w:sz w:val="32"/>
          <w:szCs w:val="32"/>
          <w:u w:val="single"/>
          <w:lang w:val="en-US" w:eastAsia="zh-CN"/>
        </w:rPr>
        <w:t xml:space="preserve">   </w:t>
      </w:r>
    </w:p>
    <w:p w14:paraId="3AE561FA">
      <w:pPr>
        <w:widowControl w:val="0"/>
        <w:spacing w:after="0" w:line="360" w:lineRule="auto"/>
        <w:rPr>
          <w:rFonts w:hint="default" w:ascii="Times New Roman" w:hAnsi="Times New Roman" w:eastAsia="宋体" w:cs="Times New Roman"/>
          <w:sz w:val="32"/>
          <w:szCs w:val="32"/>
          <w:u w:val="single"/>
          <w:lang w:val="en-US" w:eastAsia="zh-CN"/>
        </w:rPr>
      </w:pPr>
      <w:r>
        <w:rPr>
          <w:rFonts w:ascii="Times New Roman" w:hAnsi="Times New Roman" w:eastAsia="宋体" w:cs="Times New Roman"/>
          <w:sz w:val="32"/>
          <w:szCs w:val="32"/>
          <w:lang w:val="en-US" w:eastAsia="zh-CN"/>
        </w:rPr>
        <w:t>合同编号：</w:t>
      </w:r>
      <w:r>
        <w:rPr>
          <w:rFonts w:ascii="Times New Roman" w:hAnsi="Times New Roman" w:eastAsia="宋体" w:cs="Times New Roman"/>
          <w:sz w:val="32"/>
          <w:szCs w:val="32"/>
          <w:u w:val="single"/>
          <w:lang w:val="en-US" w:eastAsia="zh-CN"/>
        </w:rPr>
        <w:t xml:space="preserve">                             </w:t>
      </w:r>
    </w:p>
    <w:p w14:paraId="6899B07B">
      <w:pPr>
        <w:widowControl w:val="0"/>
        <w:spacing w:after="0" w:line="360" w:lineRule="auto"/>
        <w:rPr>
          <w:rFonts w:hint="default" w:ascii="Times New Roman" w:hAnsi="Times New Roman" w:eastAsia="宋体" w:cs="Times New Roman"/>
          <w:sz w:val="32"/>
          <w:szCs w:val="32"/>
          <w:lang w:val="en-US" w:eastAsia="zh-CN"/>
        </w:rPr>
      </w:pPr>
      <w:r>
        <w:rPr>
          <w:rFonts w:ascii="Times New Roman" w:hAnsi="Times New Roman" w:eastAsia="宋体" w:cs="Times New Roman"/>
          <w:sz w:val="32"/>
          <w:szCs w:val="32"/>
          <w:lang w:val="en-US" w:eastAsia="zh-CN"/>
        </w:rPr>
        <w:t>甲    方：</w:t>
      </w:r>
      <w:r>
        <w:rPr>
          <w:rFonts w:ascii="Times New Roman" w:hAnsi="Times New Roman" w:eastAsia="宋体" w:cs="Times New Roman"/>
          <w:sz w:val="32"/>
          <w:szCs w:val="32"/>
          <w:u w:val="single"/>
          <w:lang w:val="en-US" w:eastAsia="zh-CN"/>
        </w:rPr>
        <w:t xml:space="preserve">                             </w:t>
      </w:r>
    </w:p>
    <w:p w14:paraId="2330B499">
      <w:pPr>
        <w:widowControl w:val="0"/>
        <w:spacing w:after="0" w:line="360" w:lineRule="auto"/>
        <w:rPr>
          <w:rFonts w:hint="default" w:ascii="Times New Roman" w:hAnsi="Times New Roman" w:eastAsia="宋体" w:cs="Times New Roman"/>
          <w:sz w:val="32"/>
          <w:szCs w:val="32"/>
          <w:u w:val="single"/>
          <w:lang w:val="en-US" w:eastAsia="zh-CN"/>
        </w:rPr>
      </w:pPr>
      <w:r>
        <w:rPr>
          <w:rFonts w:ascii="Times New Roman" w:hAnsi="Times New Roman" w:eastAsia="宋体" w:cs="Times New Roman"/>
          <w:sz w:val="32"/>
          <w:szCs w:val="32"/>
          <w:lang w:val="en-US" w:eastAsia="zh-CN"/>
        </w:rPr>
        <w:t>乙    方：</w:t>
      </w:r>
      <w:r>
        <w:rPr>
          <w:rFonts w:ascii="Times New Roman" w:hAnsi="Times New Roman" w:eastAsia="宋体" w:cs="Times New Roman"/>
          <w:sz w:val="32"/>
          <w:szCs w:val="32"/>
          <w:u w:val="single"/>
          <w:lang w:val="en-US" w:eastAsia="zh-CN"/>
        </w:rPr>
        <w:t xml:space="preserve">                             </w:t>
      </w:r>
    </w:p>
    <w:p w14:paraId="44999263">
      <w:pPr>
        <w:widowControl w:val="0"/>
        <w:spacing w:after="0" w:line="360" w:lineRule="auto"/>
        <w:rPr>
          <w:rFonts w:hint="default" w:ascii="Times New Roman" w:hAnsi="Times New Roman" w:eastAsia="宋体" w:cs="Times New Roman"/>
          <w:sz w:val="32"/>
          <w:szCs w:val="32"/>
          <w:lang w:val="en-US" w:eastAsia="zh-CN"/>
        </w:rPr>
      </w:pPr>
      <w:r>
        <w:rPr>
          <w:rFonts w:ascii="Times New Roman" w:hAnsi="Times New Roman" w:eastAsia="宋体" w:cs="Times New Roman"/>
          <w:sz w:val="32"/>
          <w:szCs w:val="32"/>
          <w:lang w:val="en-US" w:eastAsia="zh-CN"/>
        </w:rPr>
        <w:t>签订时间：</w:t>
      </w:r>
      <w:r>
        <w:rPr>
          <w:rFonts w:ascii="Times New Roman" w:hAnsi="Times New Roman" w:eastAsia="宋体" w:cs="Times New Roman"/>
          <w:sz w:val="32"/>
          <w:szCs w:val="32"/>
          <w:u w:val="single"/>
          <w:lang w:val="en-US" w:eastAsia="zh-CN"/>
        </w:rPr>
        <w:t xml:space="preserve">      </w:t>
      </w:r>
      <w:r>
        <w:rPr>
          <w:rFonts w:hint="default" w:ascii="Times New Roman" w:hAnsi="Times New Roman" w:eastAsia="宋体" w:cs="Times New Roman"/>
          <w:sz w:val="32"/>
          <w:szCs w:val="32"/>
          <w:u w:val="single"/>
          <w:lang w:val="en-US" w:eastAsia="zh-CN"/>
        </w:rPr>
        <w:t xml:space="preserve">           </w:t>
      </w:r>
      <w:r>
        <w:rPr>
          <w:rFonts w:ascii="Times New Roman" w:hAnsi="Times New Roman" w:eastAsia="宋体" w:cs="Times New Roman"/>
          <w:sz w:val="32"/>
          <w:szCs w:val="32"/>
          <w:u w:val="single"/>
          <w:lang w:val="en-US" w:eastAsia="zh-CN"/>
        </w:rPr>
        <w:t xml:space="preserve">            </w:t>
      </w:r>
    </w:p>
    <w:p w14:paraId="06B67309">
      <w:pPr>
        <w:widowControl w:val="0"/>
        <w:spacing w:after="0" w:line="240" w:lineRule="auto"/>
        <w:rPr>
          <w:rFonts w:hint="default" w:ascii="Times New Roman" w:hAnsi="Times New Roman" w:eastAsia="宋体" w:cs="Times New Roman"/>
          <w:szCs w:val="24"/>
          <w:lang w:val="en-US" w:eastAsia="zh-CN"/>
        </w:rPr>
      </w:pPr>
    </w:p>
    <w:p w14:paraId="21FDE593">
      <w:pPr>
        <w:widowControl w:val="0"/>
        <w:spacing w:after="0" w:line="240" w:lineRule="auto"/>
        <w:rPr>
          <w:rFonts w:hint="default" w:ascii="Times New Roman" w:hAnsi="Times New Roman" w:eastAsia="黑体" w:cs="Times New Roman"/>
          <w:sz w:val="44"/>
          <w:szCs w:val="44"/>
          <w:lang w:val="en-US" w:eastAsia="zh-CN"/>
        </w:rPr>
      </w:pPr>
      <w:r>
        <w:rPr>
          <w:rFonts w:hint="default" w:ascii="Times New Roman" w:hAnsi="Times New Roman" w:eastAsia="黑体" w:cs="Times New Roman"/>
          <w:sz w:val="44"/>
          <w:szCs w:val="44"/>
          <w:lang w:val="en-US" w:eastAsia="zh-CN"/>
        </w:rPr>
        <w:br w:type="page"/>
      </w:r>
    </w:p>
    <w:p w14:paraId="14D19458">
      <w:pPr>
        <w:keepNext/>
        <w:keepLines/>
        <w:widowControl w:val="0"/>
        <w:adjustRightInd w:val="0"/>
        <w:snapToGrid w:val="0"/>
        <w:spacing w:after="0" w:line="400" w:lineRule="exact"/>
        <w:jc w:val="center"/>
        <w:outlineLvl w:val="1"/>
        <w:rPr>
          <w:rFonts w:ascii="黑体" w:hAnsi="华文中宋" w:eastAsia="黑体" w:cs="Times New Roman"/>
          <w:sz w:val="28"/>
          <w:szCs w:val="28"/>
          <w:lang w:val="en-US" w:eastAsia="zh-CN"/>
        </w:rPr>
      </w:pPr>
      <w:r>
        <w:rPr>
          <w:rFonts w:ascii="黑体" w:hAnsi="黑体" w:eastAsia="黑体" w:cs="Times New Roman"/>
          <w:sz w:val="28"/>
          <w:szCs w:val="28"/>
          <w:lang w:val="en-US" w:eastAsia="zh-CN"/>
        </w:rPr>
        <w:t xml:space="preserve">第一节 </w:t>
      </w:r>
      <w:r>
        <w:rPr>
          <w:rFonts w:ascii="黑体" w:hAnsi="华文中宋" w:eastAsia="黑体" w:cs="Times New Roman"/>
          <w:sz w:val="28"/>
          <w:szCs w:val="28"/>
          <w:lang w:val="en-US" w:eastAsia="zh-CN"/>
        </w:rPr>
        <w:t>政府采购合同协议书</w:t>
      </w:r>
    </w:p>
    <w:p w14:paraId="2990D660">
      <w:pPr>
        <w:widowControl w:val="0"/>
        <w:adjustRightInd w:val="0"/>
        <w:snapToGrid w:val="0"/>
        <w:spacing w:after="0" w:line="400" w:lineRule="exact"/>
        <w:rPr>
          <w:rFonts w:ascii="宋体" w:hAnsi="宋体" w:eastAsia="宋体" w:cs="Times New Roman"/>
          <w:lang w:val="en-US" w:eastAsia="zh-CN"/>
        </w:rPr>
      </w:pPr>
      <w:r>
        <w:rPr>
          <w:rFonts w:ascii="宋体" w:hAnsi="宋体" w:eastAsia="宋体" w:cs="Times New Roman"/>
          <w:lang w:val="en-US" w:eastAsia="zh-CN"/>
        </w:rPr>
        <w:t>甲方（全称）：</w:t>
      </w:r>
      <w:r>
        <w:rPr>
          <w:rFonts w:ascii="宋体" w:hAnsi="宋体" w:eastAsia="宋体" w:cs="Times New Roman"/>
          <w:u w:val="single"/>
          <w:lang w:val="en-US" w:eastAsia="zh-CN"/>
        </w:rPr>
        <w:t xml:space="preserve">                        </w:t>
      </w:r>
      <w:r>
        <w:rPr>
          <w:rFonts w:ascii="宋体" w:hAnsi="宋体" w:eastAsia="宋体" w:cs="Times New Roman"/>
          <w:lang w:val="en-US" w:eastAsia="zh-CN"/>
        </w:rPr>
        <w:t>（采购人、受采购人委托签订合同的单位或采购文件约定的合同甲方）</w:t>
      </w:r>
    </w:p>
    <w:p w14:paraId="09D2A034">
      <w:pPr>
        <w:widowControl w:val="0"/>
        <w:adjustRightInd w:val="0"/>
        <w:snapToGrid w:val="0"/>
        <w:spacing w:after="0" w:line="400" w:lineRule="exact"/>
        <w:rPr>
          <w:rFonts w:ascii="宋体" w:hAnsi="宋体" w:eastAsia="宋体" w:cs="Times New Roman"/>
          <w:lang w:val="en-US" w:eastAsia="zh-CN"/>
        </w:rPr>
      </w:pPr>
      <w:r>
        <w:rPr>
          <w:rFonts w:ascii="宋体" w:hAnsi="宋体" w:eastAsia="宋体" w:cs="Times New Roman"/>
          <w:lang w:val="en-US" w:eastAsia="zh-CN"/>
        </w:rPr>
        <w:t>乙方1（全称）：</w:t>
      </w:r>
      <w:r>
        <w:rPr>
          <w:rFonts w:ascii="宋体" w:hAnsi="宋体" w:eastAsia="宋体" w:cs="Times New Roman"/>
          <w:u w:val="single"/>
          <w:lang w:val="en-US" w:eastAsia="zh-CN"/>
        </w:rPr>
        <w:t xml:space="preserve">                       </w:t>
      </w:r>
      <w:r>
        <w:rPr>
          <w:rFonts w:ascii="宋体" w:hAnsi="宋体" w:eastAsia="宋体" w:cs="Times New Roman"/>
          <w:lang w:val="en-US" w:eastAsia="zh-CN"/>
        </w:rPr>
        <w:t>（供应商）</w:t>
      </w:r>
    </w:p>
    <w:p w14:paraId="1E813CD4">
      <w:pPr>
        <w:widowControl w:val="0"/>
        <w:adjustRightInd w:val="0"/>
        <w:snapToGrid w:val="0"/>
        <w:spacing w:after="0" w:line="400" w:lineRule="exact"/>
        <w:rPr>
          <w:rFonts w:ascii="宋体" w:hAnsi="宋体" w:eastAsia="宋体" w:cs="Times New Roman"/>
          <w:lang w:val="en-US" w:eastAsia="zh-CN"/>
        </w:rPr>
      </w:pPr>
      <w:r>
        <w:rPr>
          <w:rFonts w:ascii="宋体" w:hAnsi="宋体" w:eastAsia="宋体" w:cs="Times New Roman"/>
          <w:lang w:val="en-US" w:eastAsia="zh-CN"/>
        </w:rPr>
        <w:t>乙方2（全称）：</w:t>
      </w:r>
      <w:r>
        <w:rPr>
          <w:rFonts w:ascii="宋体" w:hAnsi="宋体" w:eastAsia="宋体" w:cs="Times New Roman"/>
          <w:u w:val="single"/>
          <w:lang w:val="en-US" w:eastAsia="zh-CN"/>
        </w:rPr>
        <w:t xml:space="preserve">                        </w:t>
      </w:r>
      <w:r>
        <w:rPr>
          <w:rFonts w:ascii="宋体" w:hAnsi="宋体" w:eastAsia="宋体" w:cs="Times New Roman"/>
          <w:lang w:val="en-US" w:eastAsia="zh-CN"/>
        </w:rPr>
        <w:t>（联合体成员供应商或其他合同主体）（如有）</w:t>
      </w:r>
    </w:p>
    <w:p w14:paraId="4813D7A4">
      <w:pPr>
        <w:widowControl w:val="0"/>
        <w:adjustRightInd w:val="0"/>
        <w:snapToGrid w:val="0"/>
        <w:spacing w:after="0" w:line="400" w:lineRule="exact"/>
        <w:rPr>
          <w:rFonts w:ascii="宋体" w:hAnsi="宋体" w:eastAsia="宋体" w:cs="Times New Roman"/>
          <w:lang w:val="en-US" w:eastAsia="zh-CN"/>
        </w:rPr>
      </w:pPr>
      <w:r>
        <w:rPr>
          <w:rFonts w:ascii="Times New Roman" w:hAnsi="Times New Roman" w:eastAsia="宋体" w:cs="Times New Roman"/>
          <w:szCs w:val="24"/>
          <w:lang w:val="en-US" w:eastAsia="zh-CN"/>
        </w:rPr>
        <w:t>乙方</w:t>
      </w:r>
      <w:r>
        <w:rPr>
          <w:rFonts w:ascii="宋体" w:hAnsi="宋体" w:eastAsia="宋体" w:cs="Times New Roman"/>
          <w:lang w:val="en-US" w:eastAsia="zh-CN"/>
        </w:rPr>
        <w:t>3</w:t>
      </w:r>
      <w:r>
        <w:rPr>
          <w:rFonts w:ascii="Times New Roman" w:hAnsi="Times New Roman" w:eastAsia="宋体" w:cs="Times New Roman"/>
          <w:szCs w:val="24"/>
          <w:lang w:val="en-US" w:eastAsia="zh-CN"/>
        </w:rPr>
        <w:t>（全称）</w:t>
      </w:r>
      <w:r>
        <w:rPr>
          <w:rFonts w:ascii="宋体" w:hAnsi="宋体" w:eastAsia="宋体" w:cs="Times New Roman"/>
          <w:u w:val="single"/>
          <w:lang w:val="en-US" w:eastAsia="zh-CN"/>
        </w:rPr>
        <w:t xml:space="preserve">                          </w:t>
      </w:r>
      <w:r>
        <w:rPr>
          <w:rFonts w:ascii="宋体" w:hAnsi="宋体" w:eastAsia="宋体" w:cs="Times New Roman"/>
          <w:lang w:val="en-US" w:eastAsia="zh-CN"/>
        </w:rPr>
        <w:t>（联合体成员供应商或其他合同主体）（如有）</w:t>
      </w:r>
    </w:p>
    <w:p w14:paraId="7C9EE53D">
      <w:pPr>
        <w:widowControl w:val="0"/>
        <w:spacing w:after="0" w:line="400" w:lineRule="exact"/>
        <w:rPr>
          <w:rFonts w:hint="default" w:ascii="Times New Roman" w:hAnsi="Times New Roman" w:eastAsia="宋体" w:cs="Times New Roman"/>
          <w:szCs w:val="24"/>
          <w:lang w:val="en-US" w:eastAsia="zh-CN"/>
        </w:rPr>
      </w:pPr>
    </w:p>
    <w:p w14:paraId="44E3FB1E">
      <w:pPr>
        <w:widowControl w:val="0"/>
        <w:adjustRightInd w:val="0"/>
        <w:snapToGrid w:val="0"/>
        <w:spacing w:after="0" w:line="400" w:lineRule="exact"/>
        <w:ind w:firstLine="420" w:firstLineChars="200"/>
        <w:rPr>
          <w:rFonts w:ascii="宋体" w:hAnsi="宋体" w:eastAsia="宋体" w:cs="Times New Roman"/>
          <w:lang w:val="en-US" w:eastAsia="zh-CN"/>
        </w:rPr>
      </w:pPr>
      <w:r>
        <w:rPr>
          <w:rFonts w:ascii="宋体" w:hAnsi="宋体" w:eastAsia="宋体" w:cs="Times New Roman"/>
          <w:lang w:val="en-US" w:eastAsia="zh-CN"/>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189C4397">
      <w:pPr>
        <w:widowControl w:val="0"/>
        <w:numPr>
          <w:ilvl w:val="0"/>
          <w:numId w:val="6"/>
        </w:numPr>
        <w:adjustRightInd w:val="0"/>
        <w:snapToGrid w:val="0"/>
        <w:spacing w:after="0" w:line="400" w:lineRule="exact"/>
        <w:ind w:firstLine="422" w:firstLineChars="200"/>
        <w:rPr>
          <w:rFonts w:ascii="宋体" w:hAnsi="宋体" w:eastAsia="宋体" w:cs="Times New Roman"/>
          <w:b/>
          <w:lang w:val="en-US" w:eastAsia="zh-CN"/>
        </w:rPr>
      </w:pPr>
      <w:r>
        <w:rPr>
          <w:rFonts w:ascii="宋体" w:hAnsi="宋体" w:eastAsia="宋体" w:cs="Times New Roman"/>
          <w:b/>
          <w:lang w:val="en-US" w:eastAsia="zh-CN"/>
        </w:rPr>
        <w:t>项目信息</w:t>
      </w:r>
    </w:p>
    <w:p w14:paraId="57DE2D22">
      <w:pPr>
        <w:widowControl w:val="0"/>
        <w:numPr>
          <w:ilvl w:val="0"/>
          <w:numId w:val="7"/>
        </w:numPr>
        <w:adjustRightInd w:val="0"/>
        <w:snapToGrid w:val="0"/>
        <w:spacing w:after="0" w:line="400" w:lineRule="exact"/>
        <w:ind w:firstLine="420" w:firstLineChars="200"/>
        <w:rPr>
          <w:rFonts w:ascii="宋体" w:hAnsi="宋体" w:eastAsia="宋体" w:cs="Times New Roman"/>
          <w:u w:val="single"/>
          <w:lang w:val="en-US" w:eastAsia="zh-CN"/>
        </w:rPr>
      </w:pPr>
      <w:r>
        <w:rPr>
          <w:rFonts w:ascii="宋体" w:hAnsi="宋体" w:eastAsia="宋体" w:cs="Times New Roman"/>
          <w:lang w:val="en-US" w:eastAsia="zh-CN"/>
        </w:rPr>
        <w:t>采购项目名称：</w:t>
      </w:r>
      <w:r>
        <w:rPr>
          <w:rFonts w:hint="default" w:ascii="宋体" w:hAnsi="宋体" w:eastAsia="宋体" w:cs="Times New Roman"/>
          <w:u w:val="single"/>
          <w:lang w:val="en-US" w:eastAsia="zh-CN"/>
        </w:rPr>
        <w:t xml:space="preserve">  </w:t>
      </w:r>
      <w:r>
        <w:rPr>
          <w:rFonts w:ascii="宋体" w:hAnsi="宋体" w:eastAsia="宋体" w:cs="Times New Roman"/>
          <w:u w:val="single"/>
          <w:lang w:val="en" w:eastAsia="zh-CN"/>
        </w:rPr>
        <w:t>新乡医学院第一附属医院信息化基础设施及安全能力提升项目</w:t>
      </w:r>
      <w:r>
        <w:rPr>
          <w:rFonts w:ascii="宋体" w:hAnsi="宋体" w:eastAsia="宋体" w:cs="Times New Roman"/>
          <w:u w:val="single"/>
          <w:lang w:val="en-US" w:eastAsia="zh-CN"/>
        </w:rPr>
        <w:t xml:space="preserve"> </w:t>
      </w:r>
      <w:r>
        <w:rPr>
          <w:rFonts w:hint="default" w:ascii="宋体" w:hAnsi="宋体" w:eastAsia="宋体" w:cs="Times New Roman"/>
          <w:u w:val="single"/>
          <w:lang w:val="en-US" w:eastAsia="zh-CN"/>
        </w:rPr>
        <w:t xml:space="preserve">        </w:t>
      </w:r>
    </w:p>
    <w:p w14:paraId="278AD945">
      <w:pPr>
        <w:widowControl w:val="0"/>
        <w:tabs>
          <w:tab w:val="left" w:pos="999"/>
        </w:tabs>
        <w:adjustRightInd w:val="0"/>
        <w:snapToGrid w:val="0"/>
        <w:spacing w:after="0" w:line="400" w:lineRule="exact"/>
        <w:rPr>
          <w:rFonts w:ascii="宋体" w:hAnsi="宋体" w:eastAsia="宋体" w:cs="Times New Roman"/>
          <w:lang w:val="en-US" w:eastAsia="zh-CN"/>
        </w:rPr>
      </w:pPr>
      <w:r>
        <w:rPr>
          <w:rFonts w:ascii="宋体" w:hAnsi="宋体" w:eastAsia="宋体" w:cs="Times New Roman"/>
          <w:lang w:val="en-US" w:eastAsia="zh-CN"/>
        </w:rPr>
        <w:t xml:space="preserve">         采购项目编号：</w:t>
      </w:r>
      <w:r>
        <w:rPr>
          <w:rFonts w:hint="default" w:ascii="宋体" w:hAnsi="宋体" w:eastAsia="宋体" w:cs="Times New Roman"/>
          <w:u w:val="single"/>
          <w:lang w:val="en-US" w:eastAsia="zh-CN"/>
        </w:rPr>
        <w:t xml:space="preserve"> </w:t>
      </w:r>
      <w:r>
        <w:rPr>
          <w:rFonts w:ascii="宋体" w:hAnsi="宋体" w:eastAsia="宋体" w:cs="Times New Roman"/>
          <w:u w:val="single"/>
          <w:lang w:val="en-US" w:eastAsia="zh-CN"/>
        </w:rPr>
        <w:t>豫财招标采购-2024-1257</w:t>
      </w:r>
      <w:r>
        <w:rPr>
          <w:rFonts w:hint="default" w:ascii="宋体" w:hAnsi="宋体" w:eastAsia="宋体" w:cs="Times New Roman"/>
          <w:u w:val="single"/>
          <w:lang w:val="en-US" w:eastAsia="zh-CN"/>
        </w:rPr>
        <w:t xml:space="preserve"> </w:t>
      </w:r>
    </w:p>
    <w:p w14:paraId="7F242BB8">
      <w:pPr>
        <w:widowControl w:val="0"/>
        <w:adjustRightInd w:val="0"/>
        <w:snapToGrid w:val="0"/>
        <w:spacing w:after="0" w:line="400" w:lineRule="exact"/>
        <w:ind w:firstLine="420" w:firstLineChars="200"/>
        <w:rPr>
          <w:rFonts w:ascii="宋体" w:hAnsi="宋体" w:eastAsia="宋体" w:cs="Times New Roman"/>
          <w:lang w:val="en-US" w:eastAsia="zh-CN"/>
        </w:rPr>
      </w:pPr>
      <w:r>
        <w:rPr>
          <w:rFonts w:ascii="宋体" w:hAnsi="宋体" w:eastAsia="宋体" w:cs="Times New Roman"/>
          <w:lang w:val="en-US" w:eastAsia="zh-CN"/>
        </w:rPr>
        <w:t>（2）采购计划编号：</w:t>
      </w:r>
      <w:r>
        <w:rPr>
          <w:rFonts w:hint="default" w:ascii="宋体" w:hAnsi="宋体" w:eastAsia="宋体" w:cs="Times New Roman"/>
          <w:u w:val="single"/>
          <w:lang w:val="en-US" w:eastAsia="zh-CN"/>
        </w:rPr>
        <w:t xml:space="preserve">                     </w:t>
      </w:r>
      <w:r>
        <w:rPr>
          <w:rFonts w:ascii="宋体" w:hAnsi="宋体" w:eastAsia="宋体" w:cs="Times New Roman"/>
          <w:u w:val="single"/>
          <w:lang w:val="en-US" w:eastAsia="zh-CN"/>
        </w:rPr>
        <w:t xml:space="preserve">                </w:t>
      </w:r>
      <w:r>
        <w:rPr>
          <w:rFonts w:hint="default" w:ascii="宋体" w:hAnsi="宋体" w:eastAsia="宋体" w:cs="Times New Roman"/>
          <w:u w:val="single"/>
          <w:lang w:val="en-US" w:eastAsia="zh-CN"/>
        </w:rPr>
        <w:t xml:space="preserve">     </w:t>
      </w:r>
      <w:r>
        <w:rPr>
          <w:rFonts w:hint="default" w:ascii="宋体" w:hAnsi="宋体" w:eastAsia="宋体" w:cs="Times New Roman"/>
          <w:lang w:val="en-US" w:eastAsia="zh-CN"/>
        </w:rPr>
        <w:t xml:space="preserve"> </w:t>
      </w:r>
    </w:p>
    <w:p w14:paraId="4C197C2C">
      <w:pPr>
        <w:widowControl w:val="0"/>
        <w:adjustRightInd w:val="0"/>
        <w:snapToGrid w:val="0"/>
        <w:spacing w:after="0" w:line="400" w:lineRule="exact"/>
        <w:ind w:firstLine="420" w:firstLineChars="200"/>
        <w:rPr>
          <w:rFonts w:ascii="宋体" w:hAnsi="宋体" w:eastAsia="宋体" w:cs="Times New Roman"/>
          <w:lang w:val="en-US" w:eastAsia="zh-CN"/>
        </w:rPr>
      </w:pPr>
      <w:r>
        <w:rPr>
          <w:rFonts w:ascii="宋体" w:hAnsi="宋体" w:eastAsia="宋体" w:cs="Times New Roman"/>
          <w:lang w:val="en-US" w:eastAsia="zh-CN"/>
        </w:rPr>
        <w:t>（3）项目内容：</w:t>
      </w:r>
    </w:p>
    <w:p w14:paraId="5B823E81">
      <w:pPr>
        <w:widowControl w:val="0"/>
        <w:adjustRightInd w:val="0"/>
        <w:snapToGrid w:val="0"/>
        <w:spacing w:after="0" w:line="400" w:lineRule="exact"/>
        <w:ind w:firstLine="420" w:firstLineChars="200"/>
        <w:rPr>
          <w:rFonts w:ascii="宋体" w:hAnsi="宋体" w:eastAsia="宋体" w:cs="Times New Roman"/>
          <w:lang w:val="en-US" w:eastAsia="zh-CN"/>
        </w:rPr>
      </w:pPr>
      <w:r>
        <w:rPr>
          <w:rFonts w:ascii="宋体" w:hAnsi="宋体" w:eastAsia="宋体" w:cs="Times New Roman"/>
          <w:lang w:val="en-US" w:eastAsia="zh-CN"/>
        </w:rPr>
        <w:t xml:space="preserve">     采购标的及数量（台/套</w:t>
      </w:r>
      <w:r>
        <w:rPr>
          <w:rFonts w:hint="default" w:ascii="宋体" w:hAnsi="宋体" w:eastAsia="宋体" w:cs="Times New Roman"/>
          <w:lang w:val="en" w:eastAsia="zh-CN"/>
        </w:rPr>
        <w:t>/</w:t>
      </w:r>
      <w:r>
        <w:rPr>
          <w:rFonts w:ascii="宋体" w:hAnsi="宋体" w:eastAsia="宋体" w:cs="Times New Roman"/>
          <w:lang w:val="en" w:eastAsia="zh-CN"/>
        </w:rPr>
        <w:t>个</w:t>
      </w:r>
      <w:r>
        <w:rPr>
          <w:rFonts w:hint="default" w:ascii="宋体" w:hAnsi="宋体" w:eastAsia="宋体" w:cs="Times New Roman"/>
          <w:lang w:val="en" w:eastAsia="zh-CN"/>
        </w:rPr>
        <w:t>/</w:t>
      </w:r>
      <w:r>
        <w:rPr>
          <w:rFonts w:ascii="宋体" w:hAnsi="宋体" w:eastAsia="宋体" w:cs="Times New Roman"/>
          <w:lang w:val="en" w:eastAsia="zh-CN"/>
        </w:rPr>
        <w:t>架</w:t>
      </w:r>
      <w:r>
        <w:rPr>
          <w:rFonts w:hint="default" w:ascii="宋体" w:hAnsi="宋体" w:eastAsia="宋体" w:cs="Times New Roman"/>
          <w:lang w:val="en" w:eastAsia="zh-CN"/>
        </w:rPr>
        <w:t>/</w:t>
      </w:r>
      <w:r>
        <w:rPr>
          <w:rFonts w:ascii="宋体" w:hAnsi="宋体" w:eastAsia="宋体" w:cs="Times New Roman"/>
          <w:lang w:val="en" w:eastAsia="zh-CN"/>
        </w:rPr>
        <w:t>组等</w:t>
      </w:r>
      <w:r>
        <w:rPr>
          <w:rFonts w:ascii="宋体" w:hAnsi="宋体" w:eastAsia="宋体" w:cs="Times New Roman"/>
          <w:lang w:val="en-US" w:eastAsia="zh-CN"/>
        </w:rPr>
        <w:t>）：</w:t>
      </w:r>
      <w:r>
        <w:rPr>
          <w:rFonts w:ascii="宋体" w:hAnsi="宋体" w:eastAsia="宋体" w:cs="Times New Roman"/>
          <w:u w:val="single"/>
          <w:lang w:val="en-US" w:eastAsia="zh-CN"/>
        </w:rPr>
        <w:t xml:space="preserve">                         </w:t>
      </w:r>
      <w:r>
        <w:rPr>
          <w:rFonts w:ascii="宋体" w:hAnsi="宋体" w:eastAsia="宋体" w:cs="Times New Roman"/>
          <w:lang w:val="en-US" w:eastAsia="zh-CN"/>
        </w:rPr>
        <w:t xml:space="preserve"> </w:t>
      </w:r>
    </w:p>
    <w:p w14:paraId="6CBBF750">
      <w:pPr>
        <w:widowControl w:val="0"/>
        <w:adjustRightInd w:val="0"/>
        <w:snapToGrid w:val="0"/>
        <w:spacing w:after="0" w:line="400" w:lineRule="exact"/>
        <w:ind w:firstLine="420" w:firstLineChars="200"/>
        <w:rPr>
          <w:rFonts w:ascii="宋体" w:hAnsi="宋体" w:eastAsia="宋体" w:cs="宋体"/>
          <w:lang w:val="en" w:eastAsia="zh-CN"/>
        </w:rPr>
      </w:pPr>
      <w:r>
        <w:rPr>
          <w:rFonts w:ascii="宋体" w:hAnsi="宋体" w:eastAsia="宋体" w:cs="Times New Roman"/>
          <w:lang w:val="en-US" w:eastAsia="zh-CN"/>
        </w:rPr>
        <w:t xml:space="preserve">     </w:t>
      </w:r>
      <w:r>
        <w:rPr>
          <w:rFonts w:ascii="宋体" w:hAnsi="宋体" w:eastAsia="宋体" w:cs="宋体"/>
          <w:lang w:val="en-US" w:eastAsia="zh-CN"/>
        </w:rPr>
        <w:t>品牌：</w:t>
      </w:r>
      <w:r>
        <w:rPr>
          <w:rFonts w:ascii="宋体" w:hAnsi="宋体" w:eastAsia="宋体" w:cs="宋体"/>
          <w:u w:val="single"/>
          <w:lang w:val="en-US" w:eastAsia="zh-CN"/>
        </w:rPr>
        <w:t xml:space="preserve">      </w:t>
      </w:r>
      <w:r>
        <w:rPr>
          <w:rFonts w:hint="default" w:ascii="宋体" w:hAnsi="宋体" w:eastAsia="宋体" w:cs="宋体"/>
          <w:u w:val="single"/>
          <w:lang w:val="en" w:eastAsia="zh-CN"/>
        </w:rPr>
        <w:t xml:space="preserve">   </w:t>
      </w:r>
      <w:r>
        <w:rPr>
          <w:rFonts w:ascii="宋体" w:hAnsi="宋体" w:eastAsia="宋体" w:cs="宋体"/>
          <w:u w:val="single"/>
          <w:lang w:val="en-US" w:eastAsia="zh-CN"/>
        </w:rPr>
        <w:t xml:space="preserve">    </w:t>
      </w:r>
      <w:r>
        <w:rPr>
          <w:rFonts w:hint="default" w:ascii="宋体" w:hAnsi="宋体" w:eastAsia="宋体" w:cs="宋体"/>
          <w:u w:val="single"/>
          <w:lang w:val="en" w:eastAsia="zh-CN"/>
        </w:rPr>
        <w:t xml:space="preserve"> </w:t>
      </w:r>
      <w:r>
        <w:rPr>
          <w:rFonts w:ascii="宋体" w:hAnsi="宋体" w:eastAsia="宋体" w:cs="宋体"/>
          <w:u w:val="single"/>
          <w:lang w:val="en-US" w:eastAsia="zh-CN"/>
        </w:rPr>
        <w:t xml:space="preserve"> </w:t>
      </w:r>
      <w:r>
        <w:rPr>
          <w:rFonts w:hint="default" w:ascii="宋体" w:hAnsi="宋体" w:eastAsia="宋体" w:cs="宋体"/>
          <w:lang w:val="en" w:eastAsia="zh-CN"/>
        </w:rPr>
        <w:t xml:space="preserve">     </w:t>
      </w:r>
      <w:r>
        <w:rPr>
          <w:rFonts w:ascii="宋体" w:hAnsi="宋体" w:eastAsia="宋体" w:cs="宋体"/>
          <w:lang w:val="en-US" w:eastAsia="zh-CN"/>
        </w:rPr>
        <w:t>规格型号：</w:t>
      </w:r>
      <w:r>
        <w:rPr>
          <w:rFonts w:ascii="宋体" w:hAnsi="宋体" w:eastAsia="宋体" w:cs="宋体"/>
          <w:u w:val="single"/>
          <w:lang w:val="en-US" w:eastAsia="zh-CN"/>
        </w:rPr>
        <w:t xml:space="preserve">   </w:t>
      </w:r>
      <w:r>
        <w:rPr>
          <w:rFonts w:hint="default" w:ascii="宋体" w:hAnsi="宋体" w:eastAsia="宋体" w:cs="宋体"/>
          <w:u w:val="single"/>
          <w:lang w:val="en" w:eastAsia="zh-CN"/>
        </w:rPr>
        <w:t xml:space="preserve">  </w:t>
      </w:r>
      <w:r>
        <w:rPr>
          <w:rFonts w:ascii="宋体" w:hAnsi="宋体" w:eastAsia="宋体" w:cs="宋体"/>
          <w:u w:val="single"/>
          <w:lang w:val="en-US" w:eastAsia="zh-CN"/>
        </w:rPr>
        <w:t xml:space="preserve">       </w:t>
      </w:r>
      <w:r>
        <w:rPr>
          <w:rFonts w:hint="default" w:ascii="宋体" w:hAnsi="宋体" w:eastAsia="宋体" w:cs="宋体"/>
          <w:u w:val="single"/>
          <w:lang w:val="en" w:eastAsia="zh-CN"/>
        </w:rPr>
        <w:t xml:space="preserve">   </w:t>
      </w:r>
    </w:p>
    <w:p w14:paraId="4E80584E">
      <w:pPr>
        <w:widowControl w:val="0"/>
        <w:adjustRightInd w:val="0"/>
        <w:snapToGrid w:val="0"/>
        <w:spacing w:after="0" w:line="400" w:lineRule="exact"/>
        <w:ind w:firstLine="945" w:firstLineChars="450"/>
        <w:rPr>
          <w:rFonts w:ascii="宋体" w:hAnsi="宋体" w:eastAsia="宋体" w:cs="Times New Roman"/>
          <w:u w:val="single"/>
          <w:lang w:val="en-US" w:eastAsia="zh-CN"/>
        </w:rPr>
      </w:pPr>
      <w:r>
        <w:rPr>
          <w:rFonts w:ascii="宋体" w:hAnsi="宋体" w:eastAsia="宋体" w:cs="Times New Roman"/>
          <w:lang w:val="en-US" w:eastAsia="zh-CN"/>
        </w:rPr>
        <w:t>采购标的的技术要求、商务要求具体见附件。</w:t>
      </w:r>
    </w:p>
    <w:p w14:paraId="0E81124C">
      <w:pPr>
        <w:widowControl w:val="0"/>
        <w:adjustRightInd w:val="0"/>
        <w:snapToGrid w:val="0"/>
        <w:spacing w:after="0" w:line="400" w:lineRule="exact"/>
        <w:ind w:firstLine="945" w:firstLineChars="450"/>
        <w:rPr>
          <w:rFonts w:ascii="宋体" w:hAnsi="宋体" w:eastAsia="宋体" w:cs="宋体"/>
          <w:lang w:val="en-US" w:eastAsia="zh-CN"/>
        </w:rPr>
      </w:pPr>
      <w:r>
        <w:rPr>
          <w:rFonts w:ascii="汉仪书宋二S" w:hAnsi="汉仪书宋二S" w:eastAsia="汉仪书宋二S" w:cs="汉仪书宋二S"/>
          <w:lang w:val="en-US" w:eastAsia="zh-CN"/>
        </w:rPr>
        <w:t>①</w:t>
      </w:r>
      <w:r>
        <w:rPr>
          <w:rFonts w:ascii="宋体" w:hAnsi="宋体" w:eastAsia="宋体" w:cs="宋体"/>
          <w:lang w:val="en-US" w:eastAsia="zh-CN"/>
        </w:rPr>
        <w:t>涉及信息类产品，请填写该产品关键部件的品牌、型号：</w:t>
      </w:r>
    </w:p>
    <w:p w14:paraId="29276C18">
      <w:pPr>
        <w:widowControl w:val="0"/>
        <w:adjustRightInd w:val="0"/>
        <w:snapToGrid w:val="0"/>
        <w:spacing w:after="0" w:line="400" w:lineRule="exact"/>
        <w:ind w:firstLine="420" w:firstLineChars="200"/>
        <w:rPr>
          <w:rFonts w:ascii="宋体" w:hAnsi="宋体" w:eastAsia="宋体" w:cs="宋体"/>
          <w:kern w:val="0"/>
          <w:u w:val="single"/>
          <w:lang w:val="en-US" w:eastAsia="zh-CN"/>
        </w:rPr>
      </w:pPr>
      <w:r>
        <w:rPr>
          <w:rFonts w:ascii="宋体" w:hAnsi="宋体" w:eastAsia="宋体" w:cs="宋体"/>
          <w:lang w:val="en-US" w:eastAsia="zh-CN"/>
        </w:rPr>
        <w:t xml:space="preserve">     标的名称：</w:t>
      </w:r>
      <w:r>
        <w:rPr>
          <w:rFonts w:ascii="宋体" w:hAnsi="宋体" w:eastAsia="宋体" w:cs="宋体"/>
          <w:kern w:val="0"/>
          <w:u w:val="single"/>
          <w:lang w:val="en-US" w:eastAsia="zh-CN"/>
        </w:rPr>
        <w:t xml:space="preserve">      </w:t>
      </w:r>
      <w:r>
        <w:rPr>
          <w:rFonts w:hint="default" w:ascii="宋体" w:hAnsi="宋体" w:eastAsia="宋体" w:cs="宋体"/>
          <w:kern w:val="0"/>
          <w:u w:val="single"/>
          <w:lang w:val="en" w:eastAsia="zh-CN"/>
        </w:rPr>
        <w:t xml:space="preserve">               </w:t>
      </w:r>
      <w:r>
        <w:rPr>
          <w:rFonts w:ascii="宋体" w:hAnsi="宋体" w:eastAsia="宋体" w:cs="宋体"/>
          <w:kern w:val="0"/>
          <w:u w:val="single"/>
          <w:lang w:val="en-US" w:eastAsia="zh-CN"/>
        </w:rPr>
        <w:t xml:space="preserve">    </w:t>
      </w:r>
    </w:p>
    <w:p w14:paraId="541253B9">
      <w:pPr>
        <w:widowControl w:val="0"/>
        <w:adjustRightInd w:val="0"/>
        <w:snapToGrid w:val="0"/>
        <w:spacing w:after="0" w:line="400" w:lineRule="exact"/>
        <w:ind w:firstLine="420" w:firstLineChars="200"/>
        <w:rPr>
          <w:rFonts w:ascii="宋体" w:hAnsi="宋体" w:eastAsia="宋体" w:cs="宋体"/>
          <w:lang w:val="en-US" w:eastAsia="zh-CN"/>
        </w:rPr>
      </w:pPr>
      <w:r>
        <w:rPr>
          <w:rFonts w:ascii="宋体" w:hAnsi="宋体" w:eastAsia="宋体" w:cs="宋体"/>
          <w:lang w:val="en-US" w:eastAsia="zh-CN"/>
        </w:rPr>
        <w:t xml:space="preserve">     关键部件：</w:t>
      </w:r>
      <w:r>
        <w:rPr>
          <w:rFonts w:ascii="宋体" w:hAnsi="宋体" w:eastAsia="宋体" w:cs="宋体"/>
          <w:kern w:val="0"/>
          <w:u w:val="single"/>
          <w:lang w:val="en-US" w:eastAsia="zh-CN"/>
        </w:rPr>
        <w:t xml:space="preserve">          </w:t>
      </w:r>
      <w:r>
        <w:rPr>
          <w:rFonts w:ascii="宋体" w:hAnsi="宋体" w:eastAsia="宋体" w:cs="宋体"/>
          <w:kern w:val="0"/>
          <w:lang w:val="en-US" w:eastAsia="zh-CN"/>
        </w:rPr>
        <w:t xml:space="preserve"> </w:t>
      </w:r>
      <w:r>
        <w:rPr>
          <w:rFonts w:ascii="宋体" w:hAnsi="宋体" w:eastAsia="宋体" w:cs="宋体"/>
          <w:lang w:val="en-US" w:eastAsia="zh-CN"/>
        </w:rPr>
        <w:t>品牌：</w:t>
      </w:r>
      <w:r>
        <w:rPr>
          <w:rFonts w:ascii="宋体" w:hAnsi="宋体" w:eastAsia="宋体" w:cs="宋体"/>
          <w:u w:val="single"/>
          <w:lang w:val="en-US" w:eastAsia="zh-CN"/>
        </w:rPr>
        <w:t xml:space="preserve">        </w:t>
      </w:r>
      <w:r>
        <w:rPr>
          <w:rFonts w:ascii="宋体" w:hAnsi="宋体" w:eastAsia="宋体" w:cs="宋体"/>
          <w:lang w:val="en-US" w:eastAsia="zh-CN"/>
        </w:rPr>
        <w:t xml:space="preserve"> 型号：</w:t>
      </w:r>
      <w:r>
        <w:rPr>
          <w:rFonts w:ascii="宋体" w:hAnsi="宋体" w:eastAsia="宋体" w:cs="宋体"/>
          <w:u w:val="single"/>
          <w:lang w:val="en-US" w:eastAsia="zh-CN"/>
        </w:rPr>
        <w:t xml:space="preserve">       </w:t>
      </w:r>
      <w:r>
        <w:rPr>
          <w:rFonts w:ascii="宋体" w:hAnsi="宋体" w:eastAsia="宋体" w:cs="宋体"/>
          <w:lang w:val="en-US" w:eastAsia="zh-CN"/>
        </w:rPr>
        <w:t xml:space="preserve"> </w:t>
      </w:r>
    </w:p>
    <w:p w14:paraId="4560BC7F">
      <w:pPr>
        <w:widowControl w:val="0"/>
        <w:autoSpaceDE w:val="0"/>
        <w:autoSpaceDN w:val="0"/>
        <w:adjustRightInd w:val="0"/>
        <w:spacing w:after="0" w:line="400" w:lineRule="exact"/>
        <w:ind w:firstLine="420" w:firstLineChars="200"/>
        <w:rPr>
          <w:rFonts w:ascii="宋体" w:hAnsi="宋体" w:eastAsia="宋体" w:cs="宋体"/>
          <w:lang w:val="en-US" w:eastAsia="zh-CN"/>
        </w:rPr>
      </w:pPr>
      <w:r>
        <w:rPr>
          <w:rFonts w:ascii="宋体" w:hAnsi="宋体" w:eastAsia="宋体" w:cs="宋体"/>
          <w:lang w:val="en-US" w:eastAsia="zh-CN"/>
        </w:rPr>
        <w:t xml:space="preserve">     关键部件：</w:t>
      </w:r>
      <w:r>
        <w:rPr>
          <w:rFonts w:ascii="宋体" w:hAnsi="宋体" w:eastAsia="宋体" w:cs="宋体"/>
          <w:u w:val="single"/>
          <w:lang w:val="en-US" w:eastAsia="zh-CN"/>
        </w:rPr>
        <w:t xml:space="preserve">          </w:t>
      </w:r>
      <w:r>
        <w:rPr>
          <w:rFonts w:ascii="宋体" w:hAnsi="宋体" w:eastAsia="宋体" w:cs="宋体"/>
          <w:lang w:val="en-US" w:eastAsia="zh-CN"/>
        </w:rPr>
        <w:t xml:space="preserve"> 品牌：</w:t>
      </w:r>
      <w:r>
        <w:rPr>
          <w:rFonts w:ascii="宋体" w:hAnsi="宋体" w:eastAsia="宋体" w:cs="宋体"/>
          <w:u w:val="single"/>
          <w:lang w:val="en-US" w:eastAsia="zh-CN"/>
        </w:rPr>
        <w:t xml:space="preserve">        </w:t>
      </w:r>
      <w:r>
        <w:rPr>
          <w:rFonts w:ascii="宋体" w:hAnsi="宋体" w:eastAsia="宋体" w:cs="宋体"/>
          <w:lang w:val="en-US" w:eastAsia="zh-CN"/>
        </w:rPr>
        <w:t xml:space="preserve"> 型号：</w:t>
      </w:r>
      <w:r>
        <w:rPr>
          <w:rFonts w:ascii="宋体" w:hAnsi="宋体" w:eastAsia="宋体" w:cs="宋体"/>
          <w:u w:val="single"/>
          <w:lang w:val="en-US" w:eastAsia="zh-CN"/>
        </w:rPr>
        <w:t xml:space="preserve">       </w:t>
      </w:r>
      <w:r>
        <w:rPr>
          <w:rFonts w:ascii="宋体" w:hAnsi="宋体" w:eastAsia="宋体" w:cs="宋体"/>
          <w:lang w:val="en-US" w:eastAsia="zh-CN"/>
        </w:rPr>
        <w:t xml:space="preserve"> </w:t>
      </w:r>
    </w:p>
    <w:p w14:paraId="68334D60">
      <w:pPr>
        <w:widowControl w:val="0"/>
        <w:autoSpaceDE w:val="0"/>
        <w:autoSpaceDN w:val="0"/>
        <w:adjustRightInd w:val="0"/>
        <w:spacing w:after="0" w:line="400" w:lineRule="exact"/>
        <w:ind w:firstLine="420" w:firstLineChars="200"/>
        <w:rPr>
          <w:rFonts w:ascii="宋体" w:hAnsi="宋体" w:eastAsia="宋体" w:cs="宋体"/>
          <w:lang w:val="en-US" w:eastAsia="zh-CN"/>
        </w:rPr>
      </w:pPr>
      <w:r>
        <w:rPr>
          <w:rFonts w:ascii="宋体" w:hAnsi="宋体" w:eastAsia="宋体" w:cs="宋体"/>
          <w:lang w:val="en-US" w:eastAsia="zh-CN"/>
        </w:rPr>
        <w:t xml:space="preserve">     关键部件：</w:t>
      </w:r>
      <w:r>
        <w:rPr>
          <w:rFonts w:ascii="宋体" w:hAnsi="宋体" w:eastAsia="宋体" w:cs="宋体"/>
          <w:u w:val="single"/>
          <w:lang w:val="en-US" w:eastAsia="zh-CN"/>
        </w:rPr>
        <w:t xml:space="preserve">          </w:t>
      </w:r>
      <w:r>
        <w:rPr>
          <w:rFonts w:ascii="宋体" w:hAnsi="宋体" w:eastAsia="宋体" w:cs="宋体"/>
          <w:lang w:val="en-US" w:eastAsia="zh-CN"/>
        </w:rPr>
        <w:t xml:space="preserve"> 品牌：</w:t>
      </w:r>
      <w:r>
        <w:rPr>
          <w:rFonts w:ascii="宋体" w:hAnsi="宋体" w:eastAsia="宋体" w:cs="宋体"/>
          <w:u w:val="single"/>
          <w:lang w:val="en-US" w:eastAsia="zh-CN"/>
        </w:rPr>
        <w:t xml:space="preserve">        </w:t>
      </w:r>
      <w:r>
        <w:rPr>
          <w:rFonts w:ascii="宋体" w:hAnsi="宋体" w:eastAsia="宋体" w:cs="宋体"/>
          <w:lang w:val="en-US" w:eastAsia="zh-CN"/>
        </w:rPr>
        <w:t xml:space="preserve"> 型号：</w:t>
      </w:r>
      <w:r>
        <w:rPr>
          <w:rFonts w:ascii="宋体" w:hAnsi="宋体" w:eastAsia="宋体" w:cs="宋体"/>
          <w:u w:val="single"/>
          <w:lang w:val="en-US" w:eastAsia="zh-CN"/>
        </w:rPr>
        <w:t xml:space="preserve">       </w:t>
      </w:r>
    </w:p>
    <w:p w14:paraId="69991BBF">
      <w:pPr>
        <w:widowControl w:val="0"/>
        <w:autoSpaceDE w:val="0"/>
        <w:autoSpaceDN w:val="0"/>
        <w:adjustRightInd w:val="0"/>
        <w:snapToGrid w:val="0"/>
        <w:spacing w:after="0" w:line="400" w:lineRule="exact"/>
        <w:rPr>
          <w:rFonts w:ascii="宋体" w:hAnsi="宋体" w:eastAsia="宋体" w:cs="宋体"/>
          <w:lang w:val="en-US" w:eastAsia="zh-CN"/>
        </w:rPr>
      </w:pPr>
      <w:r>
        <w:rPr>
          <w:rFonts w:ascii="宋体" w:hAnsi="宋体" w:eastAsia="宋体" w:cs="宋体"/>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3B23044B">
      <w:pPr>
        <w:widowControl w:val="0"/>
        <w:autoSpaceDE w:val="0"/>
        <w:autoSpaceDN w:val="0"/>
        <w:adjustRightInd w:val="0"/>
        <w:snapToGrid w:val="0"/>
        <w:spacing w:after="0" w:line="400" w:lineRule="exact"/>
        <w:rPr>
          <w:rFonts w:ascii="宋体" w:hAnsi="宋体" w:eastAsia="宋体" w:cs="宋体"/>
          <w:lang w:val="en-US" w:eastAsia="zh-CN"/>
        </w:rPr>
      </w:pPr>
      <w:r>
        <w:rPr>
          <w:rFonts w:ascii="宋体" w:hAnsi="宋体" w:eastAsia="宋体" w:cs="宋体"/>
          <w:lang w:val="en-US" w:eastAsia="zh-CN"/>
        </w:rPr>
        <w:t xml:space="preserve">         </w:t>
      </w:r>
      <w:r>
        <w:rPr>
          <w:rFonts w:ascii="汉仪书宋二S" w:hAnsi="汉仪书宋二S" w:eastAsia="汉仪书宋二S" w:cs="汉仪书宋二S"/>
          <w:lang w:val="en-US" w:eastAsia="zh-CN"/>
        </w:rPr>
        <w:t>②</w:t>
      </w:r>
      <w:r>
        <w:rPr>
          <w:rFonts w:ascii="宋体" w:hAnsi="宋体" w:eastAsia="宋体" w:cs="宋体"/>
          <w:lang w:val="en-US" w:eastAsia="zh-CN"/>
        </w:rPr>
        <w:t>涉及车辆采购，请填写是否属于新能源汽车：</w:t>
      </w:r>
    </w:p>
    <w:p w14:paraId="7D351402">
      <w:pPr>
        <w:widowControl w:val="0"/>
        <w:autoSpaceDE w:val="0"/>
        <w:autoSpaceDN w:val="0"/>
        <w:adjustRightInd w:val="0"/>
        <w:snapToGrid w:val="0"/>
        <w:spacing w:after="0" w:line="400" w:lineRule="exact"/>
        <w:rPr>
          <w:rFonts w:ascii="宋体" w:hAnsi="宋体" w:eastAsia="宋体" w:cs="宋体"/>
          <w:lang w:val="en-US" w:eastAsia="zh-CN"/>
        </w:rPr>
      </w:pPr>
      <w:r>
        <w:rPr>
          <w:rFonts w:ascii="宋体" w:hAnsi="宋体" w:eastAsia="宋体" w:cs="宋体"/>
          <w:lang w:val="en-US" w:eastAsia="zh-CN"/>
        </w:rPr>
        <w:t xml:space="preserve">         </w:t>
      </w:r>
      <w:r>
        <w:rPr>
          <w:rFonts w:ascii="宋体" w:hAnsi="宋体" w:eastAsia="宋体" w:cs="宋体"/>
          <w:lang w:val="en-US" w:eastAsia="zh-CN"/>
        </w:rPr>
        <w:sym w:font="Wingdings" w:char="00A8"/>
      </w:r>
      <w:r>
        <w:rPr>
          <w:rFonts w:ascii="宋体" w:hAnsi="宋体" w:eastAsia="宋体" w:cs="宋体"/>
          <w:lang w:val="en-US" w:eastAsia="zh-CN"/>
        </w:rPr>
        <w:t>是，《政府采购品目分类目录》底级品目名称：</w:t>
      </w:r>
      <w:r>
        <w:rPr>
          <w:rFonts w:ascii="宋体" w:hAnsi="宋体" w:eastAsia="宋体" w:cs="宋体"/>
          <w:u w:val="single"/>
          <w:lang w:val="en-US" w:eastAsia="zh-CN"/>
        </w:rPr>
        <w:t xml:space="preserve">     </w:t>
      </w:r>
      <w:r>
        <w:rPr>
          <w:rFonts w:ascii="宋体" w:hAnsi="宋体" w:eastAsia="宋体" w:cs="宋体"/>
          <w:lang w:val="en-US" w:eastAsia="zh-CN"/>
        </w:rPr>
        <w:t xml:space="preserve"> 数量：</w:t>
      </w:r>
      <w:r>
        <w:rPr>
          <w:rFonts w:ascii="宋体" w:hAnsi="宋体" w:eastAsia="宋体" w:cs="宋体"/>
          <w:u w:val="single"/>
          <w:lang w:val="en-US" w:eastAsia="zh-CN"/>
        </w:rPr>
        <w:t xml:space="preserve">    </w:t>
      </w:r>
      <w:r>
        <w:rPr>
          <w:rFonts w:ascii="宋体" w:hAnsi="宋体" w:eastAsia="宋体" w:cs="宋体"/>
          <w:lang w:val="en-US" w:eastAsia="zh-CN"/>
        </w:rPr>
        <w:t xml:space="preserve"> 金额：</w:t>
      </w:r>
      <w:r>
        <w:rPr>
          <w:rFonts w:ascii="宋体" w:hAnsi="宋体" w:eastAsia="宋体" w:cs="宋体"/>
          <w:u w:val="single"/>
          <w:lang w:val="en-US" w:eastAsia="zh-CN"/>
        </w:rPr>
        <w:t xml:space="preserve">     </w:t>
      </w:r>
      <w:r>
        <w:rPr>
          <w:rFonts w:ascii="宋体" w:hAnsi="宋体" w:eastAsia="宋体" w:cs="宋体"/>
          <w:lang w:val="en-US" w:eastAsia="zh-CN"/>
        </w:rPr>
        <w:t xml:space="preserve"> </w:t>
      </w:r>
    </w:p>
    <w:p w14:paraId="5239C0AF">
      <w:pPr>
        <w:widowControl w:val="0"/>
        <w:autoSpaceDE w:val="0"/>
        <w:autoSpaceDN w:val="0"/>
        <w:adjustRightInd w:val="0"/>
        <w:snapToGrid w:val="0"/>
        <w:spacing w:after="0" w:line="400" w:lineRule="exact"/>
        <w:rPr>
          <w:rFonts w:ascii="宋体" w:hAnsi="宋体" w:eastAsia="宋体" w:cs="宋体"/>
          <w:lang w:val="en-US" w:eastAsia="zh-CN"/>
        </w:rPr>
      </w:pPr>
      <w:r>
        <w:rPr>
          <w:rFonts w:ascii="宋体" w:hAnsi="宋体" w:eastAsia="宋体" w:cs="宋体"/>
          <w:lang w:val="en-US" w:eastAsia="zh-CN"/>
        </w:rPr>
        <w:t xml:space="preserve">         </w:t>
      </w:r>
      <w:r>
        <w:rPr>
          <w:rFonts w:ascii="宋体" w:hAnsi="宋体" w:eastAsia="宋体" w:cs="宋体"/>
          <w:lang w:val="en-US" w:eastAsia="zh-CN"/>
        </w:rPr>
        <w:sym w:font="Wingdings" w:char="00A8"/>
      </w:r>
      <w:r>
        <w:rPr>
          <w:rFonts w:ascii="宋体" w:hAnsi="宋体" w:eastAsia="宋体" w:cs="宋体"/>
          <w:lang w:val="en-US" w:eastAsia="zh-CN"/>
        </w:rPr>
        <w:t>否</w:t>
      </w:r>
    </w:p>
    <w:p w14:paraId="54B80F12">
      <w:pPr>
        <w:widowControl w:val="0"/>
        <w:autoSpaceDE w:val="0"/>
        <w:autoSpaceDN w:val="0"/>
        <w:adjustRightInd w:val="0"/>
        <w:snapToGrid w:val="0"/>
        <w:spacing w:after="0" w:line="400" w:lineRule="exact"/>
        <w:rPr>
          <w:rFonts w:ascii="宋体" w:hAnsi="宋体" w:eastAsia="宋体" w:cs="宋体"/>
          <w:lang w:val="en-US" w:eastAsia="zh-CN"/>
        </w:rPr>
      </w:pPr>
      <w:r>
        <w:rPr>
          <w:rFonts w:ascii="宋体" w:hAnsi="宋体" w:eastAsia="宋体" w:cs="宋体"/>
          <w:lang w:val="en-US" w:eastAsia="zh-CN"/>
        </w:rPr>
        <w:t xml:space="preserve">    （</w:t>
      </w:r>
      <w:r>
        <w:rPr>
          <w:rFonts w:hint="default" w:ascii="宋体" w:hAnsi="宋体" w:eastAsia="宋体" w:cs="宋体"/>
          <w:lang w:val="en" w:eastAsia="zh-CN"/>
        </w:rPr>
        <w:t>4</w:t>
      </w:r>
      <w:r>
        <w:rPr>
          <w:rFonts w:ascii="宋体" w:hAnsi="宋体" w:eastAsia="宋体" w:cs="宋体"/>
          <w:lang w:val="en-US" w:eastAsia="zh-CN"/>
        </w:rPr>
        <w:t>）政府采购组织形式：</w:t>
      </w:r>
      <w:r>
        <w:rPr>
          <w:rFonts w:ascii="宋体" w:hAnsi="宋体" w:eastAsia="宋体" w:cs="宋体"/>
          <w:lang w:val="en-US" w:eastAsia="zh-CN"/>
        </w:rPr>
        <w:sym w:font="Wingdings" w:char="00FE"/>
      </w:r>
      <w:r>
        <w:rPr>
          <w:rFonts w:ascii="宋体" w:hAnsi="宋体" w:eastAsia="宋体" w:cs="宋体"/>
          <w:lang w:val="en-US" w:eastAsia="zh-CN"/>
        </w:rPr>
        <w:t xml:space="preserve">政府集中采购  </w:t>
      </w:r>
      <w:r>
        <w:rPr>
          <w:rFonts w:ascii="宋体" w:hAnsi="宋体" w:eastAsia="宋体" w:cs="宋体"/>
          <w:lang w:val="en-US" w:eastAsia="zh-CN"/>
        </w:rPr>
        <w:sym w:font="Wingdings" w:char="00A8"/>
      </w:r>
      <w:r>
        <w:rPr>
          <w:rFonts w:ascii="宋体" w:hAnsi="宋体" w:eastAsia="宋体" w:cs="宋体"/>
          <w:lang w:val="en-US" w:eastAsia="zh-CN"/>
        </w:rPr>
        <w:t xml:space="preserve">部门集中采购  </w:t>
      </w:r>
      <w:r>
        <w:rPr>
          <w:rFonts w:ascii="宋体" w:hAnsi="宋体" w:eastAsia="宋体" w:cs="宋体"/>
          <w:lang w:val="en-US" w:eastAsia="zh-CN"/>
        </w:rPr>
        <w:sym w:font="Wingdings" w:char="00A8"/>
      </w:r>
      <w:r>
        <w:rPr>
          <w:rFonts w:ascii="宋体" w:hAnsi="宋体" w:eastAsia="宋体" w:cs="宋体"/>
          <w:lang w:val="en-US" w:eastAsia="zh-CN"/>
        </w:rPr>
        <w:t>分散采购</w:t>
      </w:r>
    </w:p>
    <w:p w14:paraId="51535A36">
      <w:pPr>
        <w:widowControl w:val="0"/>
        <w:autoSpaceDE w:val="0"/>
        <w:autoSpaceDN w:val="0"/>
        <w:adjustRightInd w:val="0"/>
        <w:snapToGrid w:val="0"/>
        <w:spacing w:after="0" w:line="400" w:lineRule="exact"/>
        <w:ind w:firstLine="420"/>
        <w:rPr>
          <w:rFonts w:ascii="宋体" w:hAnsi="宋体" w:eastAsia="宋体" w:cs="宋体"/>
          <w:lang w:val="en-US" w:eastAsia="zh-CN"/>
        </w:rPr>
      </w:pPr>
      <w:r>
        <w:rPr>
          <w:rFonts w:ascii="宋体" w:hAnsi="宋体" w:eastAsia="宋体" w:cs="宋体"/>
          <w:lang w:val="en-US" w:eastAsia="zh-CN"/>
        </w:rPr>
        <w:t>（</w:t>
      </w:r>
      <w:r>
        <w:rPr>
          <w:rFonts w:hint="default" w:ascii="宋体" w:hAnsi="宋体" w:eastAsia="宋体" w:cs="宋体"/>
          <w:lang w:val="en" w:eastAsia="zh-CN"/>
        </w:rPr>
        <w:t>5</w:t>
      </w:r>
      <w:r>
        <w:rPr>
          <w:rFonts w:ascii="宋体" w:hAnsi="宋体" w:eastAsia="宋体" w:cs="宋体"/>
          <w:lang w:val="en-US" w:eastAsia="zh-CN"/>
        </w:rPr>
        <w:t>）政府采购方式：</w:t>
      </w:r>
      <w:r>
        <w:rPr>
          <w:rFonts w:ascii="宋体" w:hAnsi="宋体" w:eastAsia="宋体" w:cs="宋体"/>
          <w:lang w:val="en-US" w:eastAsia="zh-CN"/>
        </w:rPr>
        <w:sym w:font="Wingdings" w:char="00FE"/>
      </w:r>
      <w:r>
        <w:rPr>
          <w:rFonts w:ascii="宋体" w:hAnsi="宋体" w:eastAsia="宋体" w:cs="宋体"/>
          <w:lang w:val="en-US" w:eastAsia="zh-CN"/>
        </w:rPr>
        <w:t xml:space="preserve">公开招标 </w:t>
      </w:r>
      <w:r>
        <w:rPr>
          <w:rFonts w:ascii="宋体" w:hAnsi="宋体" w:eastAsia="宋体" w:cs="宋体"/>
          <w:lang w:val="en-US" w:eastAsia="zh-CN"/>
        </w:rPr>
        <w:sym w:font="Wingdings" w:char="00A8"/>
      </w:r>
      <w:r>
        <w:rPr>
          <w:rFonts w:ascii="宋体" w:hAnsi="宋体" w:eastAsia="宋体" w:cs="宋体"/>
          <w:lang w:val="en-US" w:eastAsia="zh-CN"/>
        </w:rPr>
        <w:t xml:space="preserve">邀请招标 </w:t>
      </w:r>
      <w:r>
        <w:rPr>
          <w:rFonts w:ascii="宋体" w:hAnsi="宋体" w:eastAsia="宋体" w:cs="宋体"/>
          <w:lang w:val="en-US" w:eastAsia="zh-CN"/>
        </w:rPr>
        <w:sym w:font="Wingdings" w:char="00A8"/>
      </w:r>
      <w:r>
        <w:rPr>
          <w:rFonts w:ascii="宋体" w:hAnsi="宋体" w:eastAsia="宋体" w:cs="宋体"/>
          <w:lang w:val="en-US" w:eastAsia="zh-CN"/>
        </w:rPr>
        <w:t xml:space="preserve">竞争性谈判 </w:t>
      </w:r>
      <w:r>
        <w:rPr>
          <w:rFonts w:ascii="宋体" w:hAnsi="宋体" w:eastAsia="宋体" w:cs="宋体"/>
          <w:lang w:val="en-US" w:eastAsia="zh-CN"/>
        </w:rPr>
        <w:sym w:font="Wingdings" w:char="00A8"/>
      </w:r>
      <w:r>
        <w:rPr>
          <w:rFonts w:ascii="宋体" w:hAnsi="宋体" w:eastAsia="宋体" w:cs="宋体"/>
          <w:lang w:val="en-US" w:eastAsia="zh-CN"/>
        </w:rPr>
        <w:t>竞争性磋商</w:t>
      </w:r>
    </w:p>
    <w:p w14:paraId="6A484B7B">
      <w:pPr>
        <w:widowControl w:val="0"/>
        <w:autoSpaceDE w:val="0"/>
        <w:autoSpaceDN w:val="0"/>
        <w:adjustRightInd w:val="0"/>
        <w:snapToGrid w:val="0"/>
        <w:spacing w:after="0" w:line="400" w:lineRule="exact"/>
        <w:ind w:firstLine="420"/>
        <w:rPr>
          <w:rFonts w:ascii="宋体" w:hAnsi="宋体" w:eastAsia="宋体" w:cs="宋体"/>
          <w:u w:val="single"/>
          <w:lang w:val="en-US" w:eastAsia="zh-CN"/>
        </w:rPr>
      </w:pPr>
      <w:r>
        <w:rPr>
          <w:rFonts w:ascii="宋体" w:hAnsi="宋体" w:eastAsia="华文楷体" w:cs="宋体"/>
          <w:sz w:val="22"/>
          <w:lang w:val="en-US" w:eastAsia="zh-CN"/>
        </w:rPr>
        <w:t xml:space="preserve">                  </w:t>
      </w:r>
      <w:r>
        <w:rPr>
          <w:rFonts w:ascii="宋体" w:hAnsi="宋体" w:eastAsia="宋体" w:cs="宋体"/>
          <w:lang w:val="en-US" w:eastAsia="zh-CN"/>
        </w:rPr>
        <w:sym w:font="Wingdings" w:char="00A8"/>
      </w:r>
      <w:r>
        <w:rPr>
          <w:rFonts w:ascii="宋体" w:hAnsi="宋体" w:eastAsia="宋体" w:cs="宋体"/>
          <w:lang w:val="en-US" w:eastAsia="zh-CN"/>
        </w:rPr>
        <w:t xml:space="preserve">询价 </w:t>
      </w:r>
      <w:r>
        <w:rPr>
          <w:rFonts w:ascii="宋体" w:hAnsi="宋体" w:eastAsia="宋体" w:cs="宋体"/>
          <w:lang w:val="en-US" w:eastAsia="zh-CN"/>
        </w:rPr>
        <w:sym w:font="Wingdings" w:char="00A8"/>
      </w:r>
      <w:r>
        <w:rPr>
          <w:rFonts w:ascii="宋体" w:hAnsi="宋体" w:eastAsia="宋体" w:cs="宋体"/>
          <w:lang w:val="en-US" w:eastAsia="zh-CN"/>
        </w:rPr>
        <w:t xml:space="preserve">单一来源 </w:t>
      </w:r>
      <w:r>
        <w:rPr>
          <w:rFonts w:ascii="宋体" w:hAnsi="宋体" w:eastAsia="宋体" w:cs="宋体"/>
          <w:lang w:val="en-US" w:eastAsia="zh-CN"/>
        </w:rPr>
        <w:sym w:font="Wingdings" w:char="00A8"/>
      </w:r>
      <w:r>
        <w:rPr>
          <w:rFonts w:ascii="宋体" w:hAnsi="宋体" w:eastAsia="宋体" w:cs="宋体"/>
          <w:lang w:val="en-US" w:eastAsia="zh-CN"/>
        </w:rPr>
        <w:t xml:space="preserve">框架协议 </w:t>
      </w:r>
      <w:r>
        <w:rPr>
          <w:rFonts w:ascii="宋体" w:hAnsi="宋体" w:eastAsia="宋体" w:cs="宋体"/>
          <w:lang w:val="en-US" w:eastAsia="zh-CN"/>
        </w:rPr>
        <w:sym w:font="Wingdings" w:char="00A8"/>
      </w:r>
      <w:r>
        <w:rPr>
          <w:rFonts w:ascii="宋体" w:hAnsi="宋体" w:eastAsia="宋体" w:cs="宋体"/>
          <w:lang w:val="en-US" w:eastAsia="zh-CN"/>
        </w:rPr>
        <w:t>其他：</w:t>
      </w:r>
      <w:r>
        <w:rPr>
          <w:rFonts w:ascii="宋体" w:hAnsi="宋体" w:eastAsia="宋体" w:cs="宋体"/>
          <w:u w:val="single"/>
          <w:lang w:val="en-US" w:eastAsia="zh-CN"/>
        </w:rPr>
        <w:t xml:space="preserve">          </w:t>
      </w:r>
    </w:p>
    <w:p w14:paraId="1F84B6C2">
      <w:pPr>
        <w:widowControl w:val="0"/>
        <w:autoSpaceDE w:val="0"/>
        <w:autoSpaceDN w:val="0"/>
        <w:adjustRightInd w:val="0"/>
        <w:snapToGrid w:val="0"/>
        <w:spacing w:after="0" w:line="400" w:lineRule="exact"/>
        <w:ind w:firstLine="420"/>
        <w:rPr>
          <w:rFonts w:ascii="宋体" w:hAnsi="宋体" w:eastAsia="宋体" w:cs="宋体"/>
          <w:lang w:val="en-US" w:eastAsia="zh-CN"/>
        </w:rPr>
      </w:pPr>
      <w:r>
        <w:rPr>
          <w:rFonts w:ascii="宋体" w:hAnsi="宋体" w:eastAsia="宋体" w:cs="宋体"/>
          <w:lang w:val="en-US" w:eastAsia="zh-CN"/>
        </w:rPr>
        <w:t>（注：在框架协议采购的第二阶段，可选择使用该合同文本）</w:t>
      </w:r>
    </w:p>
    <w:p w14:paraId="0D0824FC">
      <w:pPr>
        <w:widowControl w:val="0"/>
        <w:autoSpaceDE w:val="0"/>
        <w:autoSpaceDN w:val="0"/>
        <w:adjustRightInd w:val="0"/>
        <w:snapToGrid w:val="0"/>
        <w:spacing w:after="0" w:line="400" w:lineRule="exact"/>
        <w:ind w:firstLine="220" w:firstLineChars="100"/>
        <w:rPr>
          <w:rFonts w:ascii="宋体" w:hAnsi="宋体" w:eastAsia="宋体" w:cs="Times New Roman"/>
          <w:lang w:val="en-US" w:eastAsia="zh-CN"/>
        </w:rPr>
      </w:pPr>
      <w:r>
        <w:rPr>
          <w:rFonts w:ascii="宋体" w:hAnsi="宋体" w:eastAsia="华文楷体" w:cs="华文楷体"/>
          <w:sz w:val="22"/>
          <w:lang w:val="en-US" w:eastAsia="zh-CN"/>
        </w:rPr>
        <w:t xml:space="preserve"> （</w:t>
      </w:r>
      <w:r>
        <w:rPr>
          <w:rFonts w:hint="default" w:ascii="宋体" w:hAnsi="宋体" w:eastAsia="华文楷体" w:cs="华文楷体"/>
          <w:sz w:val="22"/>
          <w:lang w:val="en" w:eastAsia="zh-CN"/>
        </w:rPr>
        <w:t>6</w:t>
      </w:r>
      <w:r>
        <w:rPr>
          <w:rFonts w:ascii="宋体" w:hAnsi="宋体" w:eastAsia="华文楷体" w:cs="华文楷体"/>
          <w:sz w:val="22"/>
          <w:lang w:val="en-US" w:eastAsia="zh-CN"/>
        </w:rPr>
        <w:t>）</w:t>
      </w:r>
      <w:r>
        <w:rPr>
          <w:rFonts w:ascii="宋体" w:hAnsi="宋体" w:eastAsia="宋体" w:cs="Times New Roman"/>
          <w:lang w:val="en-US" w:eastAsia="zh-CN"/>
        </w:rPr>
        <w:t>中标（成交）采购标的制造商是否为中小企业：</w:t>
      </w:r>
      <w:r>
        <w:rPr>
          <w:rFonts w:ascii="宋体" w:hAnsi="宋体" w:eastAsia="宋体" w:cs="Times New Roman"/>
          <w:lang w:val="en-US" w:eastAsia="zh-CN"/>
        </w:rPr>
        <w:sym w:font="Wingdings" w:char="00A8"/>
      </w:r>
      <w:r>
        <w:rPr>
          <w:rFonts w:ascii="宋体" w:hAnsi="宋体" w:eastAsia="宋体" w:cs="Times New Roman"/>
          <w:lang w:val="en-US" w:eastAsia="zh-CN"/>
        </w:rPr>
        <w:t xml:space="preserve">是      </w:t>
      </w:r>
      <w:r>
        <w:rPr>
          <w:rFonts w:ascii="宋体" w:hAnsi="宋体" w:eastAsia="宋体" w:cs="Times New Roman"/>
          <w:lang w:val="en-US" w:eastAsia="zh-CN"/>
        </w:rPr>
        <w:sym w:font="Wingdings" w:char="00A8"/>
      </w:r>
      <w:r>
        <w:rPr>
          <w:rFonts w:ascii="宋体" w:hAnsi="宋体" w:eastAsia="宋体" w:cs="Times New Roman"/>
          <w:lang w:val="en-US" w:eastAsia="zh-CN"/>
        </w:rPr>
        <w:t>否</w:t>
      </w:r>
    </w:p>
    <w:p w14:paraId="426D1B56">
      <w:pPr>
        <w:widowControl w:val="0"/>
        <w:adjustRightInd w:val="0"/>
        <w:snapToGrid w:val="0"/>
        <w:spacing w:after="0" w:line="400" w:lineRule="exact"/>
        <w:rPr>
          <w:rFonts w:ascii="宋体" w:hAnsi="宋体" w:eastAsia="宋体" w:cs="Times New Roman"/>
          <w:iCs/>
          <w:lang w:val="en-US" w:eastAsia="zh-CN"/>
        </w:rPr>
      </w:pPr>
      <w:r>
        <w:rPr>
          <w:rFonts w:ascii="宋体" w:hAnsi="宋体" w:eastAsia="宋体" w:cs="Times New Roman"/>
          <w:lang w:val="en-US" w:eastAsia="zh-CN"/>
        </w:rPr>
        <w:t xml:space="preserve">         本合同是否为专门面向中小企业的采购合同（中小企业预留合同）：</w:t>
      </w:r>
      <w:r>
        <w:rPr>
          <w:rFonts w:ascii="宋体" w:hAnsi="宋体" w:eastAsia="宋体" w:cs="Times New Roman"/>
          <w:iCs/>
          <w:lang w:val="en-US" w:eastAsia="zh-CN"/>
        </w:rPr>
        <w:sym w:font="Wingdings" w:char="00A8"/>
      </w:r>
      <w:r>
        <w:rPr>
          <w:rFonts w:ascii="宋体" w:hAnsi="宋体" w:eastAsia="宋体" w:cs="Times New Roman"/>
          <w:iCs/>
          <w:lang w:val="en-US" w:eastAsia="zh-CN"/>
        </w:rPr>
        <w:t xml:space="preserve">是    </w:t>
      </w:r>
      <w:r>
        <w:rPr>
          <w:rFonts w:ascii="宋体" w:hAnsi="宋体" w:eastAsia="宋体" w:cs="Times New Roman"/>
          <w:iCs/>
          <w:lang w:val="en-US" w:eastAsia="zh-CN"/>
        </w:rPr>
        <w:sym w:font="Wingdings" w:char="00A8"/>
      </w:r>
      <w:r>
        <w:rPr>
          <w:rFonts w:ascii="宋体" w:hAnsi="宋体" w:eastAsia="宋体" w:cs="Times New Roman"/>
          <w:iCs/>
          <w:lang w:val="en-US" w:eastAsia="zh-CN"/>
        </w:rPr>
        <w:t>否</w:t>
      </w:r>
    </w:p>
    <w:p w14:paraId="6A7C5590">
      <w:pPr>
        <w:widowControl w:val="0"/>
        <w:adjustRightInd w:val="0"/>
        <w:snapToGrid w:val="0"/>
        <w:spacing w:after="0" w:line="400" w:lineRule="exact"/>
        <w:rPr>
          <w:rFonts w:ascii="宋体" w:hAnsi="宋体" w:eastAsia="宋体" w:cs="Times New Roman"/>
          <w:iCs/>
          <w:lang w:val="en-US" w:eastAsia="zh-CN"/>
        </w:rPr>
      </w:pPr>
      <w:r>
        <w:rPr>
          <w:rFonts w:ascii="Times New Roman" w:hAnsi="Times New Roman" w:eastAsia="宋体" w:cs="Times New Roman"/>
          <w:szCs w:val="24"/>
          <w:lang w:val="en-US" w:eastAsia="zh-CN"/>
        </w:rPr>
        <w:t xml:space="preserve">         若本项目不专门面向中小企业采购，是否给予小微企业评审优惠：</w:t>
      </w:r>
      <w:r>
        <w:rPr>
          <w:rFonts w:ascii="宋体" w:hAnsi="宋体" w:eastAsia="宋体" w:cs="Times New Roman"/>
          <w:iCs/>
          <w:lang w:val="en-US" w:eastAsia="zh-CN"/>
        </w:rPr>
        <w:sym w:font="Wingdings" w:char="00A8"/>
      </w:r>
      <w:r>
        <w:rPr>
          <w:rFonts w:ascii="宋体" w:hAnsi="宋体" w:eastAsia="宋体" w:cs="Times New Roman"/>
          <w:iCs/>
          <w:lang w:val="en-US" w:eastAsia="zh-CN"/>
        </w:rPr>
        <w:t xml:space="preserve">是   </w:t>
      </w:r>
      <w:r>
        <w:rPr>
          <w:rFonts w:ascii="宋体" w:hAnsi="宋体" w:eastAsia="宋体" w:cs="Times New Roman"/>
          <w:iCs/>
          <w:lang w:val="en-US" w:eastAsia="zh-CN"/>
        </w:rPr>
        <w:sym w:font="Wingdings" w:char="00A8"/>
      </w:r>
      <w:r>
        <w:rPr>
          <w:rFonts w:ascii="宋体" w:hAnsi="宋体" w:eastAsia="宋体" w:cs="Times New Roman"/>
          <w:iCs/>
          <w:lang w:val="en-US" w:eastAsia="zh-CN"/>
        </w:rPr>
        <w:t>否</w:t>
      </w:r>
    </w:p>
    <w:p w14:paraId="5EB7588F">
      <w:pPr>
        <w:widowControl w:val="0"/>
        <w:adjustRightInd w:val="0"/>
        <w:snapToGrid w:val="0"/>
        <w:spacing w:after="0" w:line="400" w:lineRule="exact"/>
        <w:rPr>
          <w:rFonts w:ascii="宋体" w:hAnsi="宋体" w:eastAsia="宋体" w:cs="Times New Roman"/>
          <w:iCs/>
          <w:lang w:val="en-US" w:eastAsia="zh-CN"/>
        </w:rPr>
      </w:pPr>
      <w:r>
        <w:rPr>
          <w:rFonts w:ascii="Times New Roman" w:hAnsi="Times New Roman" w:eastAsia="宋体" w:cs="Times New Roman"/>
          <w:szCs w:val="24"/>
          <w:lang w:val="en-US" w:eastAsia="zh-CN"/>
        </w:rPr>
        <w:t xml:space="preserve">         中标（成交）采购标的制造商是否为残疾人福利性单位：</w:t>
      </w:r>
      <w:r>
        <w:rPr>
          <w:rFonts w:ascii="宋体" w:hAnsi="宋体" w:eastAsia="宋体" w:cs="Times New Roman"/>
          <w:iCs/>
          <w:lang w:val="en-US" w:eastAsia="zh-CN"/>
        </w:rPr>
        <w:sym w:font="Wingdings" w:char="00A8"/>
      </w:r>
      <w:r>
        <w:rPr>
          <w:rFonts w:ascii="宋体" w:hAnsi="宋体" w:eastAsia="宋体" w:cs="Times New Roman"/>
          <w:iCs/>
          <w:lang w:val="en-US" w:eastAsia="zh-CN"/>
        </w:rPr>
        <w:t xml:space="preserve">是   </w:t>
      </w:r>
      <w:r>
        <w:rPr>
          <w:rFonts w:ascii="宋体" w:hAnsi="宋体" w:eastAsia="宋体" w:cs="Times New Roman"/>
          <w:iCs/>
          <w:lang w:val="en-US" w:eastAsia="zh-CN"/>
        </w:rPr>
        <w:sym w:font="Wingdings" w:char="00A8"/>
      </w:r>
      <w:r>
        <w:rPr>
          <w:rFonts w:ascii="宋体" w:hAnsi="宋体" w:eastAsia="宋体" w:cs="Times New Roman"/>
          <w:iCs/>
          <w:lang w:val="en-US" w:eastAsia="zh-CN"/>
        </w:rPr>
        <w:t>否</w:t>
      </w:r>
    </w:p>
    <w:p w14:paraId="2F7BA3D2">
      <w:pPr>
        <w:widowControl w:val="0"/>
        <w:snapToGrid w:val="0"/>
        <w:spacing w:after="0" w:line="400" w:lineRule="exact"/>
        <w:rPr>
          <w:rFonts w:hint="default" w:ascii="Times New Roman" w:hAnsi="Times New Roman" w:eastAsia="宋体" w:cs="Times New Roman"/>
          <w:szCs w:val="24"/>
          <w:lang w:val="en-US" w:eastAsia="zh-CN"/>
        </w:rPr>
      </w:pPr>
      <w:r>
        <w:rPr>
          <w:rFonts w:ascii="Times New Roman" w:hAnsi="Times New Roman" w:eastAsia="宋体" w:cs="Times New Roman"/>
          <w:szCs w:val="24"/>
          <w:lang w:val="en-US" w:eastAsia="zh-CN"/>
        </w:rPr>
        <w:t xml:space="preserve">         中标（成交）采购标的制造商是否为监狱企业：</w:t>
      </w:r>
      <w:r>
        <w:rPr>
          <w:rFonts w:ascii="宋体" w:hAnsi="宋体" w:eastAsia="宋体" w:cs="Times New Roman"/>
          <w:iCs/>
          <w:lang w:val="en-US" w:eastAsia="zh-CN"/>
        </w:rPr>
        <w:sym w:font="Wingdings" w:char="00A8"/>
      </w:r>
      <w:r>
        <w:rPr>
          <w:rFonts w:ascii="宋体" w:hAnsi="宋体" w:eastAsia="宋体" w:cs="Times New Roman"/>
          <w:iCs/>
          <w:lang w:val="en-US" w:eastAsia="zh-CN"/>
        </w:rPr>
        <w:t xml:space="preserve">是       </w:t>
      </w:r>
      <w:r>
        <w:rPr>
          <w:rFonts w:ascii="宋体" w:hAnsi="宋体" w:eastAsia="宋体" w:cs="Times New Roman"/>
          <w:iCs/>
          <w:lang w:val="en-US" w:eastAsia="zh-CN"/>
        </w:rPr>
        <w:sym w:font="Wingdings" w:char="00A8"/>
      </w:r>
      <w:r>
        <w:rPr>
          <w:rFonts w:ascii="宋体" w:hAnsi="宋体" w:eastAsia="宋体" w:cs="Times New Roman"/>
          <w:iCs/>
          <w:lang w:val="en-US" w:eastAsia="zh-CN"/>
        </w:rPr>
        <w:t>否</w:t>
      </w:r>
    </w:p>
    <w:p w14:paraId="4836EF9B">
      <w:pPr>
        <w:widowControl w:val="0"/>
        <w:adjustRightInd w:val="0"/>
        <w:snapToGrid w:val="0"/>
        <w:spacing w:after="0" w:line="400" w:lineRule="exact"/>
        <w:ind w:firstLine="420" w:firstLineChars="200"/>
        <w:rPr>
          <w:rFonts w:ascii="宋体" w:hAnsi="宋体" w:eastAsia="宋体" w:cs="Times New Roman"/>
          <w:lang w:val="en-US" w:eastAsia="zh-CN"/>
        </w:rPr>
      </w:pPr>
      <w:r>
        <w:rPr>
          <w:rFonts w:ascii="宋体" w:hAnsi="宋体" w:eastAsia="宋体" w:cs="Times New Roman"/>
          <w:lang w:val="en-US" w:eastAsia="zh-CN"/>
        </w:rPr>
        <w:t>（</w:t>
      </w:r>
      <w:r>
        <w:rPr>
          <w:rFonts w:hint="default" w:ascii="宋体" w:hAnsi="宋体" w:eastAsia="宋体" w:cs="Times New Roman"/>
          <w:lang w:val="en" w:eastAsia="zh-CN"/>
        </w:rPr>
        <w:t>7</w:t>
      </w:r>
      <w:r>
        <w:rPr>
          <w:rFonts w:ascii="宋体" w:hAnsi="宋体" w:eastAsia="宋体" w:cs="Times New Roman"/>
          <w:lang w:val="en-US" w:eastAsia="zh-CN"/>
        </w:rPr>
        <w:t>）合同是否分包：</w:t>
      </w:r>
      <w:r>
        <w:rPr>
          <w:rFonts w:ascii="宋体" w:hAnsi="宋体" w:eastAsia="宋体" w:cs="Times New Roman"/>
          <w:iCs/>
          <w:lang w:val="en-US" w:eastAsia="zh-CN"/>
        </w:rPr>
        <w:sym w:font="Wingdings" w:char="00A8"/>
      </w:r>
      <w:r>
        <w:rPr>
          <w:rFonts w:ascii="宋体" w:hAnsi="宋体" w:eastAsia="宋体" w:cs="Times New Roman"/>
          <w:iCs/>
          <w:lang w:val="en-US" w:eastAsia="zh-CN"/>
        </w:rPr>
        <w:t xml:space="preserve">是       </w:t>
      </w:r>
      <w:r>
        <w:rPr>
          <w:rFonts w:ascii="宋体" w:hAnsi="宋体" w:eastAsia="宋体" w:cs="Times New Roman"/>
          <w:iCs/>
          <w:lang w:val="en-US" w:eastAsia="zh-CN"/>
        </w:rPr>
        <w:sym w:font="Wingdings" w:char="00A8"/>
      </w:r>
      <w:r>
        <w:rPr>
          <w:rFonts w:ascii="宋体" w:hAnsi="宋体" w:eastAsia="宋体" w:cs="Times New Roman"/>
          <w:iCs/>
          <w:lang w:val="en-US" w:eastAsia="zh-CN"/>
        </w:rPr>
        <w:t>否</w:t>
      </w:r>
    </w:p>
    <w:p w14:paraId="7D703084">
      <w:pPr>
        <w:widowControl w:val="0"/>
        <w:adjustRightInd w:val="0"/>
        <w:snapToGrid w:val="0"/>
        <w:spacing w:after="0" w:line="400" w:lineRule="exact"/>
        <w:ind w:firstLine="840" w:firstLineChars="400"/>
        <w:rPr>
          <w:rFonts w:ascii="宋体" w:hAnsi="宋体" w:eastAsia="宋体" w:cs="Times New Roman"/>
          <w:u w:val="single"/>
          <w:lang w:val="en-US" w:eastAsia="zh-CN"/>
        </w:rPr>
      </w:pPr>
      <w:r>
        <w:rPr>
          <w:rFonts w:ascii="宋体" w:hAnsi="宋体" w:eastAsia="宋体" w:cs="Times New Roman"/>
          <w:lang w:val="en-US" w:eastAsia="zh-CN"/>
        </w:rPr>
        <w:t xml:space="preserve"> 分包主要内容：</w:t>
      </w:r>
      <w:r>
        <w:rPr>
          <w:rFonts w:ascii="宋体" w:hAnsi="宋体" w:eastAsia="宋体" w:cs="Times New Roman"/>
          <w:u w:val="single"/>
          <w:lang w:val="en-US" w:eastAsia="zh-CN"/>
        </w:rPr>
        <w:t xml:space="preserve">                                            </w:t>
      </w:r>
    </w:p>
    <w:p w14:paraId="16349171">
      <w:pPr>
        <w:widowControl w:val="0"/>
        <w:adjustRightInd w:val="0"/>
        <w:snapToGrid w:val="0"/>
        <w:spacing w:after="0" w:line="400" w:lineRule="exact"/>
        <w:ind w:firstLine="840" w:firstLineChars="400"/>
        <w:rPr>
          <w:rFonts w:ascii="宋体" w:hAnsi="宋体" w:eastAsia="宋体" w:cs="Times New Roman"/>
          <w:lang w:val="en-US" w:eastAsia="zh-CN"/>
        </w:rPr>
      </w:pPr>
      <w:r>
        <w:rPr>
          <w:rFonts w:ascii="宋体" w:hAnsi="宋体" w:eastAsia="宋体" w:cs="Times New Roman"/>
          <w:lang w:val="en-US" w:eastAsia="zh-CN"/>
        </w:rPr>
        <w:t xml:space="preserve"> 分包供应商/制造商名称（如供应商和制造商不同，请分别填写）：</w:t>
      </w:r>
    </w:p>
    <w:p w14:paraId="5B7BE07F">
      <w:pPr>
        <w:widowControl w:val="0"/>
        <w:adjustRightInd w:val="0"/>
        <w:snapToGrid w:val="0"/>
        <w:spacing w:after="0" w:line="400" w:lineRule="exact"/>
        <w:ind w:firstLine="840" w:firstLineChars="400"/>
        <w:rPr>
          <w:rFonts w:ascii="宋体" w:hAnsi="宋体" w:eastAsia="宋体" w:cs="Times New Roman"/>
          <w:u w:val="single"/>
          <w:lang w:val="en-US" w:eastAsia="zh-CN"/>
        </w:rPr>
      </w:pPr>
      <w:r>
        <w:rPr>
          <w:rFonts w:ascii="宋体" w:hAnsi="宋体" w:eastAsia="宋体" w:cs="Times New Roman"/>
          <w:lang w:val="en-US" w:eastAsia="zh-CN"/>
        </w:rPr>
        <w:t xml:space="preserve"> </w:t>
      </w:r>
      <w:r>
        <w:rPr>
          <w:rFonts w:ascii="宋体" w:hAnsi="宋体" w:eastAsia="宋体" w:cs="Times New Roman"/>
          <w:u w:val="single"/>
          <w:lang w:val="en-US" w:eastAsia="zh-CN"/>
        </w:rPr>
        <w:t xml:space="preserve">                                                          </w:t>
      </w:r>
    </w:p>
    <w:p w14:paraId="2B62DF40">
      <w:pPr>
        <w:widowControl w:val="0"/>
        <w:adjustRightInd w:val="0"/>
        <w:snapToGrid w:val="0"/>
        <w:spacing w:after="0" w:line="400" w:lineRule="exact"/>
        <w:ind w:firstLine="840" w:firstLineChars="400"/>
        <w:rPr>
          <w:rFonts w:ascii="宋体" w:hAnsi="宋体" w:eastAsia="宋体" w:cs="Times New Roman"/>
          <w:lang w:val="en-US" w:eastAsia="zh-CN"/>
        </w:rPr>
      </w:pPr>
      <w:r>
        <w:rPr>
          <w:rFonts w:ascii="宋体" w:hAnsi="宋体" w:eastAsia="宋体" w:cs="Times New Roman"/>
          <w:lang w:val="en-US" w:eastAsia="zh-CN"/>
        </w:rPr>
        <w:t xml:space="preserve"> 分包供应商/制造商类型（如果供应商和制造商不同，只填写制造商类型）：</w:t>
      </w:r>
    </w:p>
    <w:p w14:paraId="69EFDF33">
      <w:pPr>
        <w:widowControl w:val="0"/>
        <w:adjustRightInd w:val="0"/>
        <w:snapToGrid w:val="0"/>
        <w:spacing w:after="0" w:line="400" w:lineRule="exact"/>
        <w:ind w:firstLine="840" w:firstLineChars="400"/>
        <w:rPr>
          <w:rFonts w:ascii="宋体" w:hAnsi="宋体" w:eastAsia="宋体" w:cs="Times New Roman"/>
          <w:iCs/>
          <w:lang w:val="en-US" w:eastAsia="zh-CN"/>
        </w:rPr>
      </w:pPr>
      <w:r>
        <w:rPr>
          <w:rFonts w:ascii="宋体" w:hAnsi="宋体" w:eastAsia="宋体" w:cs="Times New Roman"/>
          <w:iCs/>
          <w:lang w:val="en-US" w:eastAsia="zh-CN"/>
        </w:rPr>
        <w:t xml:space="preserve"> </w:t>
      </w:r>
      <w:r>
        <w:rPr>
          <w:rFonts w:ascii="宋体" w:hAnsi="宋体" w:eastAsia="宋体" w:cs="Times New Roman"/>
          <w:iCs/>
          <w:lang w:val="en-US" w:eastAsia="zh-CN"/>
        </w:rPr>
        <w:sym w:font="Wingdings" w:char="00A8"/>
      </w:r>
      <w:r>
        <w:rPr>
          <w:rFonts w:ascii="宋体" w:hAnsi="宋体" w:eastAsia="宋体" w:cs="Times New Roman"/>
          <w:iCs/>
          <w:lang w:val="en-US" w:eastAsia="zh-CN"/>
        </w:rPr>
        <w:t xml:space="preserve">大型企业  </w:t>
      </w:r>
      <w:r>
        <w:rPr>
          <w:rFonts w:ascii="宋体" w:hAnsi="宋体" w:eastAsia="宋体" w:cs="Times New Roman"/>
          <w:iCs/>
          <w:lang w:val="en-US" w:eastAsia="zh-CN"/>
        </w:rPr>
        <w:sym w:font="Wingdings" w:char="00A8"/>
      </w:r>
      <w:r>
        <w:rPr>
          <w:rFonts w:ascii="宋体" w:hAnsi="宋体" w:eastAsia="宋体" w:cs="Times New Roman"/>
          <w:iCs/>
          <w:lang w:val="en-US" w:eastAsia="zh-CN"/>
        </w:rPr>
        <w:t xml:space="preserve">中型企业  </w:t>
      </w:r>
      <w:r>
        <w:rPr>
          <w:rFonts w:ascii="宋体" w:hAnsi="宋体" w:eastAsia="宋体" w:cs="Times New Roman"/>
          <w:iCs/>
          <w:lang w:val="en-US" w:eastAsia="zh-CN"/>
        </w:rPr>
        <w:sym w:font="Wingdings" w:char="00A8"/>
      </w:r>
      <w:r>
        <w:rPr>
          <w:rFonts w:ascii="宋体" w:hAnsi="宋体" w:eastAsia="宋体" w:cs="Times New Roman"/>
          <w:iCs/>
          <w:lang w:val="en-US" w:eastAsia="zh-CN"/>
        </w:rPr>
        <w:t xml:space="preserve">小微型企业  </w:t>
      </w:r>
    </w:p>
    <w:p w14:paraId="2D416034">
      <w:pPr>
        <w:widowControl w:val="0"/>
        <w:adjustRightInd w:val="0"/>
        <w:snapToGrid w:val="0"/>
        <w:spacing w:after="0" w:line="400" w:lineRule="exact"/>
        <w:ind w:firstLine="840" w:firstLineChars="400"/>
        <w:rPr>
          <w:rFonts w:hint="default" w:ascii="Times New Roman" w:hAnsi="Times New Roman" w:eastAsia="华文楷体" w:cs="Times New Roman"/>
          <w:szCs w:val="24"/>
          <w:lang w:val="en-US" w:eastAsia="zh-CN"/>
        </w:rPr>
      </w:pPr>
      <w:r>
        <w:rPr>
          <w:rFonts w:ascii="宋体" w:hAnsi="宋体" w:eastAsia="宋体" w:cs="Times New Roman"/>
          <w:iCs/>
          <w:lang w:val="en-US" w:eastAsia="zh-CN"/>
        </w:rPr>
        <w:t xml:space="preserve"> </w:t>
      </w:r>
      <w:r>
        <w:rPr>
          <w:rFonts w:ascii="宋体" w:hAnsi="宋体" w:eastAsia="宋体" w:cs="Times New Roman"/>
          <w:iCs/>
          <w:lang w:val="en-US" w:eastAsia="zh-CN"/>
        </w:rPr>
        <w:sym w:font="Wingdings" w:char="00A8"/>
      </w:r>
      <w:r>
        <w:rPr>
          <w:rFonts w:ascii="宋体" w:hAnsi="宋体" w:eastAsia="宋体" w:cs="Times New Roman"/>
          <w:iCs/>
          <w:lang w:val="en-US" w:eastAsia="zh-CN"/>
        </w:rPr>
        <w:t xml:space="preserve">残疾人福利性单位 </w:t>
      </w:r>
      <w:r>
        <w:rPr>
          <w:rFonts w:ascii="宋体" w:hAnsi="宋体" w:eastAsia="宋体" w:cs="Times New Roman"/>
          <w:iCs/>
          <w:lang w:val="en-US" w:eastAsia="zh-CN"/>
        </w:rPr>
        <w:sym w:font="Wingdings" w:char="00A8"/>
      </w:r>
      <w:r>
        <w:rPr>
          <w:rFonts w:ascii="宋体" w:hAnsi="宋体" w:eastAsia="宋体" w:cs="Times New Roman"/>
          <w:iCs/>
          <w:lang w:val="en-US" w:eastAsia="zh-CN"/>
        </w:rPr>
        <w:t xml:space="preserve">监狱企业 </w:t>
      </w:r>
      <w:r>
        <w:rPr>
          <w:rFonts w:ascii="宋体" w:hAnsi="宋体" w:eastAsia="宋体" w:cs="Times New Roman"/>
          <w:iCs/>
          <w:lang w:val="en-US" w:eastAsia="zh-CN"/>
        </w:rPr>
        <w:sym w:font="Wingdings" w:char="00A8"/>
      </w:r>
      <w:r>
        <w:rPr>
          <w:rFonts w:ascii="宋体" w:hAnsi="宋体" w:eastAsia="宋体" w:cs="Times New Roman"/>
          <w:iCs/>
          <w:lang w:val="en-US" w:eastAsia="zh-CN"/>
        </w:rPr>
        <w:t>其他</w:t>
      </w:r>
    </w:p>
    <w:p w14:paraId="6A2A196F">
      <w:pPr>
        <w:widowControl w:val="0"/>
        <w:adjustRightInd w:val="0"/>
        <w:snapToGrid w:val="0"/>
        <w:spacing w:after="0" w:line="400" w:lineRule="exact"/>
        <w:rPr>
          <w:rFonts w:ascii="宋体" w:hAnsi="宋体" w:eastAsia="宋体" w:cs="宋体"/>
          <w:iCs/>
          <w:lang w:val="en-US" w:eastAsia="zh-CN"/>
        </w:rPr>
      </w:pPr>
      <w:r>
        <w:rPr>
          <w:rFonts w:ascii="宋体" w:hAnsi="宋体" w:eastAsia="宋体" w:cs="Times New Roman"/>
          <w:lang w:val="en-US" w:eastAsia="zh-CN"/>
        </w:rPr>
        <w:t xml:space="preserve">    </w:t>
      </w:r>
      <w:r>
        <w:rPr>
          <w:rFonts w:ascii="宋体" w:hAnsi="宋体" w:eastAsia="宋体" w:cs="宋体"/>
          <w:lang w:val="en-US" w:eastAsia="zh-CN"/>
        </w:rPr>
        <w:t>（</w:t>
      </w:r>
      <w:r>
        <w:rPr>
          <w:rFonts w:hint="default" w:ascii="宋体" w:hAnsi="宋体" w:eastAsia="宋体" w:cs="宋体"/>
          <w:lang w:val="en" w:eastAsia="zh-CN"/>
        </w:rPr>
        <w:t>8</w:t>
      </w:r>
      <w:r>
        <w:rPr>
          <w:rFonts w:ascii="宋体" w:hAnsi="宋体" w:eastAsia="宋体" w:cs="宋体"/>
          <w:lang w:val="en-US" w:eastAsia="zh-CN"/>
        </w:rPr>
        <w:t>）中标（成交）供应商是否为外商投资企业：</w:t>
      </w:r>
      <w:r>
        <w:rPr>
          <w:rFonts w:ascii="宋体" w:hAnsi="宋体" w:eastAsia="宋体" w:cs="宋体"/>
          <w:iCs/>
          <w:lang w:val="en-US" w:eastAsia="zh-CN"/>
        </w:rPr>
        <w:sym w:font="Wingdings" w:char="00A8"/>
      </w:r>
      <w:r>
        <w:rPr>
          <w:rFonts w:ascii="宋体" w:hAnsi="宋体" w:eastAsia="宋体" w:cs="宋体"/>
          <w:iCs/>
          <w:lang w:val="en-US" w:eastAsia="zh-CN"/>
        </w:rPr>
        <w:t xml:space="preserve">是       </w:t>
      </w:r>
      <w:r>
        <w:rPr>
          <w:rFonts w:ascii="宋体" w:hAnsi="宋体" w:eastAsia="宋体" w:cs="宋体"/>
          <w:iCs/>
          <w:lang w:val="en-US" w:eastAsia="zh-CN"/>
        </w:rPr>
        <w:sym w:font="Wingdings" w:char="00A8"/>
      </w:r>
      <w:r>
        <w:rPr>
          <w:rFonts w:ascii="宋体" w:hAnsi="宋体" w:eastAsia="宋体" w:cs="宋体"/>
          <w:iCs/>
          <w:lang w:val="en-US" w:eastAsia="zh-CN"/>
        </w:rPr>
        <w:t>否</w:t>
      </w:r>
    </w:p>
    <w:p w14:paraId="700EAB0F">
      <w:pPr>
        <w:widowControl w:val="0"/>
        <w:tabs>
          <w:tab w:val="left" w:pos="1340"/>
        </w:tabs>
        <w:autoSpaceDE w:val="0"/>
        <w:autoSpaceDN w:val="0"/>
        <w:adjustRightInd w:val="0"/>
        <w:spacing w:after="0" w:line="400" w:lineRule="exact"/>
        <w:ind w:firstLine="420" w:firstLineChars="200"/>
        <w:rPr>
          <w:rFonts w:ascii="宋体" w:hAnsi="宋体" w:eastAsia="宋体" w:cs="宋体"/>
          <w:u w:val="single"/>
          <w:lang w:val="en-US" w:eastAsia="zh-CN"/>
        </w:rPr>
      </w:pPr>
      <w:r>
        <w:rPr>
          <w:rFonts w:ascii="宋体" w:hAnsi="宋体" w:eastAsia="宋体" w:cs="宋体"/>
          <w:lang w:val="en-US" w:eastAsia="zh-CN"/>
        </w:rPr>
        <w:t xml:space="preserve">     外商投资企业类型：</w:t>
      </w:r>
      <w:r>
        <w:rPr>
          <w:rFonts w:ascii="宋体" w:hAnsi="宋体" w:eastAsia="宋体" w:cs="宋体"/>
          <w:iCs/>
          <w:lang w:val="en-US" w:eastAsia="zh-CN"/>
        </w:rPr>
        <w:sym w:font="Wingdings" w:char="00A8"/>
      </w:r>
      <w:r>
        <w:rPr>
          <w:rFonts w:ascii="宋体" w:hAnsi="宋体" w:eastAsia="宋体" w:cs="宋体"/>
          <w:lang w:val="en-US" w:eastAsia="zh-CN"/>
        </w:rPr>
        <w:t xml:space="preserve">全部由外国投资者投资  </w:t>
      </w:r>
      <w:r>
        <w:rPr>
          <w:rFonts w:ascii="宋体" w:hAnsi="宋体" w:eastAsia="宋体" w:cs="宋体"/>
          <w:iCs/>
          <w:lang w:val="en-US" w:eastAsia="zh-CN"/>
        </w:rPr>
        <w:sym w:font="Wingdings" w:char="00A8"/>
      </w:r>
      <w:r>
        <w:rPr>
          <w:rFonts w:ascii="宋体" w:hAnsi="宋体" w:eastAsia="宋体" w:cs="宋体"/>
          <w:iCs/>
          <w:lang w:val="en-US" w:eastAsia="zh-CN"/>
        </w:rPr>
        <w:t>部分由外国投资者投资</w:t>
      </w:r>
    </w:p>
    <w:p w14:paraId="27CB6FA7">
      <w:pPr>
        <w:widowControl w:val="0"/>
        <w:adjustRightInd w:val="0"/>
        <w:snapToGrid w:val="0"/>
        <w:spacing w:after="0" w:line="400" w:lineRule="exact"/>
        <w:ind w:firstLine="420" w:firstLineChars="200"/>
        <w:rPr>
          <w:rFonts w:ascii="宋体" w:hAnsi="宋体" w:eastAsia="宋体" w:cs="宋体"/>
          <w:lang w:val="en-US" w:eastAsia="zh-CN"/>
        </w:rPr>
      </w:pPr>
      <w:r>
        <w:rPr>
          <w:rFonts w:ascii="宋体" w:hAnsi="宋体" w:eastAsia="宋体" w:cs="宋体"/>
          <w:lang w:val="en-US" w:eastAsia="zh-CN"/>
        </w:rPr>
        <w:t>（</w:t>
      </w:r>
      <w:r>
        <w:rPr>
          <w:rFonts w:hint="default" w:ascii="宋体" w:hAnsi="宋体" w:eastAsia="宋体" w:cs="宋体"/>
          <w:lang w:val="en" w:eastAsia="zh-CN"/>
        </w:rPr>
        <w:t>9</w:t>
      </w:r>
      <w:r>
        <w:rPr>
          <w:rFonts w:ascii="宋体" w:hAnsi="宋体" w:eastAsia="宋体" w:cs="宋体"/>
          <w:lang w:val="en-US" w:eastAsia="zh-CN"/>
        </w:rPr>
        <w:t>）是否涉及进口产品：</w:t>
      </w:r>
    </w:p>
    <w:p w14:paraId="2ED789C4">
      <w:pPr>
        <w:widowControl w:val="0"/>
        <w:adjustRightInd w:val="0"/>
        <w:snapToGrid w:val="0"/>
        <w:spacing w:after="0" w:line="400" w:lineRule="exact"/>
        <w:ind w:firstLine="840" w:firstLineChars="400"/>
        <w:rPr>
          <w:rFonts w:ascii="宋体" w:hAnsi="宋体" w:eastAsia="宋体" w:cs="宋体"/>
          <w:u w:val="single"/>
          <w:lang w:val="en-US" w:eastAsia="zh-CN"/>
        </w:rPr>
      </w:pPr>
      <w:r>
        <w:rPr>
          <w:rFonts w:ascii="宋体" w:hAnsi="宋体" w:eastAsia="宋体" w:cs="宋体"/>
          <w:lang w:val="en-US" w:eastAsia="zh-CN"/>
        </w:rPr>
        <w:t xml:space="preserve"> </w:t>
      </w:r>
      <w:r>
        <w:rPr>
          <w:rFonts w:ascii="宋体" w:hAnsi="宋体" w:eastAsia="宋体" w:cs="宋体"/>
          <w:lang w:val="en-US" w:eastAsia="zh-CN"/>
        </w:rPr>
        <w:sym w:font="Wingdings" w:char="00A8"/>
      </w:r>
      <w:r>
        <w:rPr>
          <w:rFonts w:ascii="宋体" w:hAnsi="宋体" w:eastAsia="宋体" w:cs="宋体"/>
          <w:lang w:val="en-US" w:eastAsia="zh-CN"/>
        </w:rPr>
        <w:t>是，《政府采购品目分类目录》底级品目名称：</w:t>
      </w:r>
      <w:r>
        <w:rPr>
          <w:rFonts w:ascii="宋体" w:hAnsi="宋体" w:eastAsia="宋体" w:cs="宋体"/>
          <w:u w:val="single"/>
          <w:lang w:val="en-US" w:eastAsia="zh-CN"/>
        </w:rPr>
        <w:t xml:space="preserve">         </w:t>
      </w:r>
      <w:r>
        <w:rPr>
          <w:rFonts w:ascii="宋体" w:hAnsi="宋体" w:eastAsia="宋体" w:cs="宋体"/>
          <w:lang w:val="en-US" w:eastAsia="zh-CN"/>
        </w:rPr>
        <w:t xml:space="preserve"> 金额：</w:t>
      </w:r>
      <w:r>
        <w:rPr>
          <w:rFonts w:ascii="宋体" w:hAnsi="宋体" w:eastAsia="宋体" w:cs="宋体"/>
          <w:u w:val="single"/>
          <w:lang w:val="en-US" w:eastAsia="zh-CN"/>
        </w:rPr>
        <w:t xml:space="preserve">        </w:t>
      </w:r>
    </w:p>
    <w:p w14:paraId="5F8CF15D">
      <w:pPr>
        <w:widowControl w:val="0"/>
        <w:adjustRightInd w:val="0"/>
        <w:snapToGrid w:val="0"/>
        <w:spacing w:after="0" w:line="400" w:lineRule="exact"/>
        <w:ind w:firstLine="840" w:firstLineChars="400"/>
        <w:rPr>
          <w:rFonts w:ascii="宋体" w:hAnsi="宋体" w:eastAsia="宋体" w:cs="Times New Roman"/>
          <w:lang w:val="en-US" w:eastAsia="zh-CN"/>
        </w:rPr>
      </w:pPr>
      <w:r>
        <w:rPr>
          <w:rFonts w:ascii="宋体" w:hAnsi="宋体" w:eastAsia="宋体" w:cs="宋体"/>
          <w:lang w:val="en-US" w:eastAsia="zh-CN"/>
        </w:rPr>
        <w:t xml:space="preserve">        国别：</w:t>
      </w:r>
      <w:r>
        <w:rPr>
          <w:rFonts w:ascii="宋体" w:hAnsi="宋体" w:eastAsia="宋体" w:cs="宋体"/>
          <w:u w:val="single"/>
          <w:lang w:val="en-US" w:eastAsia="zh-CN"/>
        </w:rPr>
        <w:t xml:space="preserve">        </w:t>
      </w:r>
      <w:r>
        <w:rPr>
          <w:rFonts w:ascii="宋体" w:hAnsi="宋体" w:eastAsia="宋体" w:cs="宋体"/>
          <w:lang w:val="en-US" w:eastAsia="zh-CN"/>
        </w:rPr>
        <w:t xml:space="preserve"> 品牌：</w:t>
      </w:r>
      <w:r>
        <w:rPr>
          <w:rFonts w:ascii="宋体" w:hAnsi="宋体" w:eastAsia="宋体" w:cs="宋体"/>
          <w:u w:val="single"/>
          <w:lang w:val="en-US" w:eastAsia="zh-CN"/>
        </w:rPr>
        <w:t xml:space="preserve">        </w:t>
      </w:r>
      <w:r>
        <w:rPr>
          <w:rFonts w:ascii="宋体" w:hAnsi="宋体" w:eastAsia="宋体" w:cs="宋体"/>
          <w:lang w:val="en-US" w:eastAsia="zh-CN"/>
        </w:rPr>
        <w:t xml:space="preserve"> 规格型号：</w:t>
      </w:r>
      <w:r>
        <w:rPr>
          <w:rFonts w:ascii="宋体" w:hAnsi="宋体" w:eastAsia="宋体" w:cs="宋体"/>
          <w:u w:val="single"/>
          <w:lang w:val="en-US" w:eastAsia="zh-CN"/>
        </w:rPr>
        <w:t xml:space="preserve">        </w:t>
      </w:r>
      <w:r>
        <w:rPr>
          <w:rFonts w:ascii="宋体" w:hAnsi="宋体" w:eastAsia="宋体" w:cs="Times New Roman"/>
          <w:lang w:val="en-US" w:eastAsia="zh-CN"/>
        </w:rPr>
        <w:t xml:space="preserve">      </w:t>
      </w:r>
    </w:p>
    <w:p w14:paraId="6F375E94">
      <w:pPr>
        <w:widowControl w:val="0"/>
        <w:adjustRightInd w:val="0"/>
        <w:snapToGrid w:val="0"/>
        <w:spacing w:after="0" w:line="400" w:lineRule="exact"/>
        <w:ind w:firstLine="840" w:firstLineChars="400"/>
        <w:rPr>
          <w:rFonts w:ascii="宋体" w:hAnsi="宋体" w:eastAsia="宋体" w:cs="Times New Roman"/>
          <w:lang w:val="en-US" w:eastAsia="zh-CN"/>
        </w:rPr>
      </w:pPr>
      <w:r>
        <w:rPr>
          <w:rFonts w:ascii="宋体" w:hAnsi="宋体" w:eastAsia="宋体" w:cs="Times New Roman"/>
          <w:lang w:val="en-US" w:eastAsia="zh-CN"/>
        </w:rPr>
        <w:t xml:space="preserve"> </w:t>
      </w:r>
      <w:r>
        <w:rPr>
          <w:rFonts w:ascii="宋体" w:hAnsi="宋体" w:eastAsia="宋体" w:cs="Times New Roman"/>
          <w:lang w:val="en-US" w:eastAsia="zh-CN"/>
        </w:rPr>
        <w:sym w:font="Wingdings" w:char="00A8"/>
      </w:r>
      <w:r>
        <w:rPr>
          <w:rFonts w:ascii="宋体" w:hAnsi="宋体" w:eastAsia="宋体" w:cs="Times New Roman"/>
          <w:lang w:val="en-US" w:eastAsia="zh-CN"/>
        </w:rPr>
        <w:t>否</w:t>
      </w:r>
    </w:p>
    <w:p w14:paraId="1476D7DC">
      <w:pPr>
        <w:widowControl w:val="0"/>
        <w:tabs>
          <w:tab w:val="left" w:pos="740"/>
        </w:tabs>
        <w:adjustRightInd w:val="0"/>
        <w:snapToGrid w:val="0"/>
        <w:spacing w:after="0" w:line="400" w:lineRule="exact"/>
        <w:rPr>
          <w:rFonts w:ascii="宋体" w:hAnsi="宋体" w:eastAsia="宋体" w:cs="Times New Roman"/>
          <w:lang w:val="en-US" w:eastAsia="zh-CN"/>
        </w:rPr>
      </w:pPr>
      <w:r>
        <w:rPr>
          <w:rFonts w:ascii="宋体" w:hAnsi="宋体" w:eastAsia="宋体" w:cs="Times New Roman"/>
          <w:lang w:val="en-US" w:eastAsia="zh-CN"/>
        </w:rPr>
        <w:t xml:space="preserve">    （1</w:t>
      </w:r>
      <w:r>
        <w:rPr>
          <w:rFonts w:hint="default" w:ascii="宋体" w:hAnsi="宋体" w:eastAsia="宋体" w:cs="Times New Roman"/>
          <w:lang w:val="en" w:eastAsia="zh-CN"/>
        </w:rPr>
        <w:t>0</w:t>
      </w:r>
      <w:r>
        <w:rPr>
          <w:rFonts w:ascii="宋体" w:hAnsi="宋体" w:eastAsia="宋体" w:cs="Times New Roman"/>
          <w:lang w:val="en-US" w:eastAsia="zh-CN"/>
        </w:rPr>
        <w:t>）是否涉及节能产品：</w:t>
      </w:r>
    </w:p>
    <w:p w14:paraId="08120546">
      <w:pPr>
        <w:widowControl w:val="0"/>
        <w:tabs>
          <w:tab w:val="left" w:pos="740"/>
        </w:tabs>
        <w:adjustRightInd w:val="0"/>
        <w:snapToGrid w:val="0"/>
        <w:spacing w:after="0" w:line="400" w:lineRule="exact"/>
        <w:rPr>
          <w:rFonts w:ascii="宋体" w:hAnsi="宋体" w:eastAsia="宋体" w:cs="Times New Roman"/>
          <w:iCs/>
          <w:lang w:val="en-US" w:eastAsia="zh-CN"/>
        </w:rPr>
      </w:pPr>
      <w:r>
        <w:rPr>
          <w:rFonts w:ascii="宋体" w:hAnsi="宋体" w:eastAsia="宋体" w:cs="Times New Roman"/>
          <w:lang w:val="en-US" w:eastAsia="zh-CN"/>
        </w:rPr>
        <w:t xml:space="preserve">         </w:t>
      </w:r>
      <w:r>
        <w:rPr>
          <w:rFonts w:ascii="宋体" w:hAnsi="宋体" w:eastAsia="宋体" w:cs="Times New Roman"/>
          <w:lang w:val="en-US" w:eastAsia="zh-CN"/>
        </w:rPr>
        <w:sym w:font="Wingdings" w:char="00A8"/>
      </w:r>
      <w:r>
        <w:rPr>
          <w:rFonts w:ascii="宋体" w:hAnsi="宋体" w:eastAsia="宋体" w:cs="Times New Roman"/>
          <w:lang w:val="en-US" w:eastAsia="zh-CN"/>
        </w:rPr>
        <w:t>是，《节能产品政府采购品目清单》的底级品目名称：</w:t>
      </w:r>
      <w:r>
        <w:rPr>
          <w:rFonts w:ascii="宋体" w:hAnsi="宋体" w:eastAsia="宋体" w:cs="Times New Roman"/>
          <w:u w:val="single"/>
          <w:lang w:val="en-US" w:eastAsia="zh-CN"/>
        </w:rPr>
        <w:t xml:space="preserve">         </w:t>
      </w:r>
      <w:r>
        <w:rPr>
          <w:rFonts w:ascii="宋体" w:hAnsi="宋体" w:eastAsia="宋体" w:cs="Times New Roman"/>
          <w:iCs/>
          <w:lang w:val="en-US" w:eastAsia="zh-CN"/>
        </w:rPr>
        <w:t xml:space="preserve">     </w:t>
      </w:r>
    </w:p>
    <w:p w14:paraId="386265BB">
      <w:pPr>
        <w:widowControl w:val="0"/>
        <w:tabs>
          <w:tab w:val="left" w:pos="740"/>
        </w:tabs>
        <w:adjustRightInd w:val="0"/>
        <w:snapToGrid w:val="0"/>
        <w:spacing w:after="0" w:line="400" w:lineRule="exact"/>
        <w:rPr>
          <w:rFonts w:ascii="宋体" w:hAnsi="宋体" w:eastAsia="宋体" w:cs="Times New Roman"/>
          <w:iCs/>
          <w:lang w:val="en-US" w:eastAsia="zh-CN"/>
        </w:rPr>
      </w:pPr>
      <w:r>
        <w:rPr>
          <w:rFonts w:ascii="宋体" w:hAnsi="宋体" w:eastAsia="宋体" w:cs="Times New Roman"/>
          <w:iCs/>
          <w:lang w:val="en-US" w:eastAsia="zh-CN"/>
        </w:rPr>
        <w:t xml:space="preserve">                </w:t>
      </w:r>
      <w:r>
        <w:rPr>
          <w:rFonts w:ascii="宋体" w:hAnsi="宋体" w:eastAsia="宋体" w:cs="Times New Roman"/>
          <w:iCs/>
          <w:lang w:val="en-US" w:eastAsia="zh-CN"/>
        </w:rPr>
        <w:sym w:font="Wingdings" w:char="00A8"/>
      </w:r>
      <w:r>
        <w:rPr>
          <w:rFonts w:ascii="宋体" w:hAnsi="宋体" w:eastAsia="宋体" w:cs="Times New Roman"/>
          <w:iCs/>
          <w:lang w:val="en-US" w:eastAsia="zh-CN"/>
        </w:rPr>
        <w:t xml:space="preserve">强制采购       </w:t>
      </w:r>
      <w:r>
        <w:rPr>
          <w:rFonts w:ascii="宋体" w:hAnsi="宋体" w:eastAsia="宋体" w:cs="Times New Roman"/>
          <w:iCs/>
          <w:lang w:val="en-US" w:eastAsia="zh-CN"/>
        </w:rPr>
        <w:sym w:font="Wingdings" w:char="00A8"/>
      </w:r>
      <w:r>
        <w:rPr>
          <w:rFonts w:ascii="宋体" w:hAnsi="宋体" w:eastAsia="宋体" w:cs="Times New Roman"/>
          <w:iCs/>
          <w:lang w:val="en-US" w:eastAsia="zh-CN"/>
        </w:rPr>
        <w:t xml:space="preserve">优先采购    </w:t>
      </w:r>
    </w:p>
    <w:p w14:paraId="4ACC8F96">
      <w:pPr>
        <w:widowControl w:val="0"/>
        <w:tabs>
          <w:tab w:val="left" w:pos="740"/>
        </w:tabs>
        <w:adjustRightInd w:val="0"/>
        <w:snapToGrid w:val="0"/>
        <w:spacing w:after="0" w:line="400" w:lineRule="exact"/>
        <w:rPr>
          <w:rFonts w:ascii="宋体" w:hAnsi="宋体" w:eastAsia="宋体" w:cs="Times New Roman"/>
          <w:lang w:val="en-US" w:eastAsia="zh-CN"/>
        </w:rPr>
      </w:pPr>
      <w:r>
        <w:rPr>
          <w:rFonts w:ascii="宋体" w:hAnsi="宋体" w:eastAsia="宋体" w:cs="Times New Roman"/>
          <w:iCs/>
          <w:lang w:val="en-US" w:eastAsia="zh-CN"/>
        </w:rPr>
        <w:t xml:space="preserve">         </w:t>
      </w:r>
      <w:r>
        <w:rPr>
          <w:rFonts w:ascii="宋体" w:hAnsi="宋体" w:eastAsia="宋体" w:cs="Times New Roman"/>
          <w:lang w:val="en-US" w:eastAsia="zh-CN"/>
        </w:rPr>
        <w:sym w:font="Wingdings" w:char="00A8"/>
      </w:r>
      <w:r>
        <w:rPr>
          <w:rFonts w:ascii="宋体" w:hAnsi="宋体" w:eastAsia="宋体" w:cs="Times New Roman"/>
          <w:lang w:val="en-US" w:eastAsia="zh-CN"/>
        </w:rPr>
        <w:t>否</w:t>
      </w:r>
    </w:p>
    <w:p w14:paraId="17CD01CC">
      <w:pPr>
        <w:widowControl w:val="0"/>
        <w:tabs>
          <w:tab w:val="left" w:pos="740"/>
        </w:tabs>
        <w:adjustRightInd w:val="0"/>
        <w:snapToGrid w:val="0"/>
        <w:spacing w:after="0" w:line="400" w:lineRule="exact"/>
        <w:rPr>
          <w:rFonts w:ascii="宋体" w:hAnsi="宋体" w:eastAsia="宋体" w:cs="Times New Roman"/>
          <w:lang w:val="en-US" w:eastAsia="zh-CN"/>
        </w:rPr>
      </w:pPr>
      <w:r>
        <w:rPr>
          <w:rFonts w:ascii="宋体" w:hAnsi="宋体" w:eastAsia="宋体" w:cs="Times New Roman"/>
          <w:lang w:val="en-US" w:eastAsia="zh-CN"/>
        </w:rPr>
        <w:t xml:space="preserve">          是否涉及环境标志产品：</w:t>
      </w:r>
    </w:p>
    <w:p w14:paraId="384213D5">
      <w:pPr>
        <w:widowControl w:val="0"/>
        <w:tabs>
          <w:tab w:val="left" w:pos="740"/>
        </w:tabs>
        <w:adjustRightInd w:val="0"/>
        <w:snapToGrid w:val="0"/>
        <w:spacing w:after="0" w:line="400" w:lineRule="exact"/>
        <w:rPr>
          <w:rFonts w:ascii="宋体" w:hAnsi="宋体" w:eastAsia="宋体" w:cs="Times New Roman"/>
          <w:lang w:val="en-US" w:eastAsia="zh-CN"/>
        </w:rPr>
      </w:pPr>
      <w:r>
        <w:rPr>
          <w:rFonts w:ascii="宋体" w:hAnsi="宋体" w:eastAsia="宋体" w:cs="Times New Roman"/>
          <w:lang w:val="en-US" w:eastAsia="zh-CN"/>
        </w:rPr>
        <w:t xml:space="preserve">         </w:t>
      </w:r>
      <w:r>
        <w:rPr>
          <w:rFonts w:ascii="宋体" w:hAnsi="宋体" w:eastAsia="宋体" w:cs="Times New Roman"/>
          <w:lang w:val="en-US" w:eastAsia="zh-CN"/>
        </w:rPr>
        <w:sym w:font="Wingdings" w:char="00A8"/>
      </w:r>
      <w:r>
        <w:rPr>
          <w:rFonts w:ascii="宋体" w:hAnsi="宋体" w:eastAsia="宋体" w:cs="Times New Roman"/>
          <w:lang w:val="en-US" w:eastAsia="zh-CN"/>
        </w:rPr>
        <w:t>是，《环境标志产品政府采购品目清单》的底级品目名称：</w:t>
      </w:r>
      <w:r>
        <w:rPr>
          <w:rFonts w:ascii="宋体" w:hAnsi="宋体" w:eastAsia="宋体" w:cs="Times New Roman"/>
          <w:u w:val="single"/>
          <w:lang w:val="en-US" w:eastAsia="zh-CN"/>
        </w:rPr>
        <w:t xml:space="preserve">         </w:t>
      </w:r>
      <w:r>
        <w:rPr>
          <w:rFonts w:ascii="宋体" w:hAnsi="宋体" w:eastAsia="宋体" w:cs="Times New Roman"/>
          <w:iCs/>
          <w:lang w:val="en-US" w:eastAsia="zh-CN"/>
        </w:rPr>
        <w:t xml:space="preserve"> </w:t>
      </w:r>
    </w:p>
    <w:p w14:paraId="1C36885C">
      <w:pPr>
        <w:widowControl w:val="0"/>
        <w:tabs>
          <w:tab w:val="left" w:pos="740"/>
        </w:tabs>
        <w:adjustRightInd w:val="0"/>
        <w:snapToGrid w:val="0"/>
        <w:spacing w:after="0" w:line="400" w:lineRule="exact"/>
        <w:rPr>
          <w:rFonts w:ascii="宋体" w:hAnsi="宋体" w:eastAsia="宋体" w:cs="Times New Roman"/>
          <w:iCs/>
          <w:lang w:val="en-US" w:eastAsia="zh-CN"/>
        </w:rPr>
      </w:pPr>
      <w:r>
        <w:rPr>
          <w:rFonts w:ascii="宋体" w:hAnsi="宋体" w:eastAsia="宋体" w:cs="Times New Roman"/>
          <w:iCs/>
          <w:lang w:val="en-US" w:eastAsia="zh-CN"/>
        </w:rPr>
        <w:t xml:space="preserve">                </w:t>
      </w:r>
      <w:r>
        <w:rPr>
          <w:rFonts w:ascii="宋体" w:hAnsi="宋体" w:eastAsia="宋体" w:cs="Times New Roman"/>
          <w:iCs/>
          <w:lang w:val="en-US" w:eastAsia="zh-CN"/>
        </w:rPr>
        <w:sym w:font="Wingdings" w:char="00A8"/>
      </w:r>
      <w:r>
        <w:rPr>
          <w:rFonts w:ascii="宋体" w:hAnsi="宋体" w:eastAsia="宋体" w:cs="Times New Roman"/>
          <w:iCs/>
          <w:lang w:val="en-US" w:eastAsia="zh-CN"/>
        </w:rPr>
        <w:t xml:space="preserve">强制采购       </w:t>
      </w:r>
      <w:r>
        <w:rPr>
          <w:rFonts w:ascii="宋体" w:hAnsi="宋体" w:eastAsia="宋体" w:cs="Times New Roman"/>
          <w:iCs/>
          <w:lang w:val="en-US" w:eastAsia="zh-CN"/>
        </w:rPr>
        <w:sym w:font="Wingdings" w:char="00A8"/>
      </w:r>
      <w:r>
        <w:rPr>
          <w:rFonts w:ascii="宋体" w:hAnsi="宋体" w:eastAsia="宋体" w:cs="Times New Roman"/>
          <w:iCs/>
          <w:lang w:val="en-US" w:eastAsia="zh-CN"/>
        </w:rPr>
        <w:t xml:space="preserve">优先采购    </w:t>
      </w:r>
    </w:p>
    <w:p w14:paraId="1DB0588D">
      <w:pPr>
        <w:widowControl w:val="0"/>
        <w:tabs>
          <w:tab w:val="left" w:pos="740"/>
        </w:tabs>
        <w:adjustRightInd w:val="0"/>
        <w:snapToGrid w:val="0"/>
        <w:spacing w:after="0" w:line="400" w:lineRule="exact"/>
        <w:rPr>
          <w:rFonts w:ascii="宋体" w:hAnsi="宋体" w:eastAsia="宋体" w:cs="Times New Roman"/>
          <w:lang w:val="en-US" w:eastAsia="zh-CN"/>
        </w:rPr>
      </w:pPr>
      <w:r>
        <w:rPr>
          <w:rFonts w:ascii="宋体" w:hAnsi="宋体" w:eastAsia="宋体" w:cs="Times New Roman"/>
          <w:iCs/>
          <w:lang w:val="en-US" w:eastAsia="zh-CN"/>
        </w:rPr>
        <w:t xml:space="preserve">         </w:t>
      </w:r>
      <w:r>
        <w:rPr>
          <w:rFonts w:ascii="宋体" w:hAnsi="宋体" w:eastAsia="宋体" w:cs="Times New Roman"/>
          <w:lang w:val="en-US" w:eastAsia="zh-CN"/>
        </w:rPr>
        <w:sym w:font="Wingdings" w:char="00A8"/>
      </w:r>
      <w:r>
        <w:rPr>
          <w:rFonts w:ascii="宋体" w:hAnsi="宋体" w:eastAsia="宋体" w:cs="Times New Roman"/>
          <w:lang w:val="en-US" w:eastAsia="zh-CN"/>
        </w:rPr>
        <w:t>否</w:t>
      </w:r>
    </w:p>
    <w:p w14:paraId="4DCF68EB">
      <w:pPr>
        <w:widowControl w:val="0"/>
        <w:autoSpaceDE w:val="0"/>
        <w:autoSpaceDN w:val="0"/>
        <w:adjustRightInd w:val="0"/>
        <w:snapToGrid w:val="0"/>
        <w:spacing w:after="0" w:line="400" w:lineRule="exact"/>
        <w:rPr>
          <w:rFonts w:ascii="宋体" w:hAnsi="宋体" w:eastAsia="宋体" w:cs="Times New Roman"/>
          <w:lang w:val="en-US" w:eastAsia="zh-CN"/>
        </w:rPr>
      </w:pPr>
      <w:r>
        <w:rPr>
          <w:rFonts w:ascii="宋体" w:hAnsi="宋体" w:eastAsia="华文楷体" w:cs="华文楷体"/>
          <w:lang w:val="en-US" w:eastAsia="zh-CN"/>
        </w:rPr>
        <w:t xml:space="preserve">          </w:t>
      </w:r>
      <w:r>
        <w:rPr>
          <w:rFonts w:ascii="宋体" w:hAnsi="宋体" w:eastAsia="宋体" w:cs="Times New Roman"/>
          <w:lang w:val="en-US" w:eastAsia="zh-CN"/>
        </w:rPr>
        <w:t xml:space="preserve">是否涉及绿色产品： </w:t>
      </w:r>
    </w:p>
    <w:p w14:paraId="3E7A8BFA">
      <w:pPr>
        <w:widowControl w:val="0"/>
        <w:autoSpaceDE w:val="0"/>
        <w:autoSpaceDN w:val="0"/>
        <w:adjustRightInd w:val="0"/>
        <w:spacing w:after="0" w:line="400" w:lineRule="exact"/>
        <w:ind w:firstLine="420"/>
        <w:rPr>
          <w:rFonts w:ascii="宋体" w:hAnsi="宋体" w:eastAsia="宋体" w:cs="华文楷体"/>
          <w:sz w:val="22"/>
          <w:u w:val="single"/>
          <w:lang w:val="en-US" w:eastAsia="zh-CN"/>
        </w:rPr>
      </w:pPr>
      <w:r>
        <w:rPr>
          <w:rFonts w:ascii="宋体" w:hAnsi="宋体" w:eastAsia="宋体" w:cs="Times New Roman"/>
          <w:lang w:val="en-US" w:eastAsia="zh-CN"/>
        </w:rPr>
        <w:t xml:space="preserve">     </w:t>
      </w:r>
      <w:r>
        <w:rPr>
          <w:rFonts w:ascii="宋体" w:hAnsi="宋体" w:eastAsia="宋体" w:cs="Times New Roman"/>
          <w:lang w:val="en-US" w:eastAsia="zh-CN"/>
        </w:rPr>
        <w:sym w:font="Wingdings" w:char="00A8"/>
      </w:r>
      <w:r>
        <w:rPr>
          <w:rFonts w:ascii="宋体" w:hAnsi="宋体" w:eastAsia="宋体" w:cs="Times New Roman"/>
          <w:lang w:val="en-US" w:eastAsia="zh-CN"/>
        </w:rPr>
        <w:t>是，绿色产品政府采购相关政策确定的底级品目名称：</w:t>
      </w:r>
      <w:r>
        <w:rPr>
          <w:rFonts w:ascii="宋体" w:hAnsi="宋体" w:eastAsia="宋体" w:cs="华文楷体"/>
          <w:sz w:val="22"/>
          <w:u w:val="single"/>
          <w:lang w:val="en-US" w:eastAsia="zh-CN"/>
        </w:rPr>
        <w:t xml:space="preserve">         </w:t>
      </w:r>
    </w:p>
    <w:p w14:paraId="74BC4010">
      <w:pPr>
        <w:widowControl w:val="0"/>
        <w:tabs>
          <w:tab w:val="left" w:pos="740"/>
        </w:tabs>
        <w:adjustRightInd w:val="0"/>
        <w:snapToGrid w:val="0"/>
        <w:spacing w:after="0" w:line="400" w:lineRule="exact"/>
        <w:rPr>
          <w:rFonts w:ascii="宋体" w:hAnsi="宋体" w:eastAsia="宋体" w:cs="Times New Roman"/>
          <w:iCs/>
          <w:lang w:val="en-US" w:eastAsia="zh-CN"/>
        </w:rPr>
      </w:pPr>
      <w:r>
        <w:rPr>
          <w:rFonts w:ascii="宋体" w:hAnsi="宋体" w:eastAsia="宋体" w:cs="Times New Roman"/>
          <w:iCs/>
          <w:lang w:val="en-US" w:eastAsia="zh-CN"/>
        </w:rPr>
        <w:t xml:space="preserve">                </w:t>
      </w:r>
      <w:r>
        <w:rPr>
          <w:rFonts w:ascii="宋体" w:hAnsi="宋体" w:eastAsia="宋体" w:cs="Times New Roman"/>
          <w:iCs/>
          <w:lang w:val="en-US" w:eastAsia="zh-CN"/>
        </w:rPr>
        <w:sym w:font="Wingdings" w:char="00A8"/>
      </w:r>
      <w:r>
        <w:rPr>
          <w:rFonts w:ascii="宋体" w:hAnsi="宋体" w:eastAsia="宋体" w:cs="Times New Roman"/>
          <w:iCs/>
          <w:lang w:val="en-US" w:eastAsia="zh-CN"/>
        </w:rPr>
        <w:t xml:space="preserve">强制采购       </w:t>
      </w:r>
      <w:r>
        <w:rPr>
          <w:rFonts w:ascii="宋体" w:hAnsi="宋体" w:eastAsia="宋体" w:cs="Times New Roman"/>
          <w:iCs/>
          <w:lang w:val="en-US" w:eastAsia="zh-CN"/>
        </w:rPr>
        <w:sym w:font="Wingdings" w:char="00A8"/>
      </w:r>
      <w:r>
        <w:rPr>
          <w:rFonts w:ascii="宋体" w:hAnsi="宋体" w:eastAsia="宋体" w:cs="Times New Roman"/>
          <w:iCs/>
          <w:lang w:val="en-US" w:eastAsia="zh-CN"/>
        </w:rPr>
        <w:t xml:space="preserve">优先采购    </w:t>
      </w:r>
    </w:p>
    <w:p w14:paraId="6F150003">
      <w:pPr>
        <w:widowControl w:val="0"/>
        <w:autoSpaceDE w:val="0"/>
        <w:autoSpaceDN w:val="0"/>
        <w:adjustRightInd w:val="0"/>
        <w:spacing w:after="0" w:line="400" w:lineRule="exact"/>
        <w:ind w:firstLine="420"/>
        <w:rPr>
          <w:rFonts w:ascii="宋体" w:hAnsi="宋体" w:eastAsia="华文楷体" w:cs="华文楷体"/>
          <w:lang w:val="en-US" w:eastAsia="zh-CN"/>
        </w:rPr>
      </w:pPr>
      <w:r>
        <w:rPr>
          <w:rFonts w:ascii="宋体" w:hAnsi="宋体" w:eastAsia="宋体" w:cs="Times New Roman"/>
          <w:lang w:val="en-US" w:eastAsia="zh-CN"/>
        </w:rPr>
        <w:t xml:space="preserve">     </w:t>
      </w:r>
      <w:r>
        <w:rPr>
          <w:rFonts w:ascii="宋体" w:hAnsi="宋体" w:eastAsia="宋体" w:cs="Times New Roman"/>
          <w:lang w:val="en-US" w:eastAsia="zh-CN"/>
        </w:rPr>
        <w:sym w:font="Wingdings" w:char="00A8"/>
      </w:r>
      <w:r>
        <w:rPr>
          <w:rFonts w:ascii="宋体" w:hAnsi="宋体" w:eastAsia="宋体" w:cs="Times New Roman"/>
          <w:lang w:val="en-US" w:eastAsia="zh-CN"/>
        </w:rPr>
        <w:t>否</w:t>
      </w:r>
    </w:p>
    <w:p w14:paraId="45A42FE1">
      <w:pPr>
        <w:widowControl w:val="0"/>
        <w:adjustRightInd w:val="0"/>
        <w:snapToGrid w:val="0"/>
        <w:spacing w:after="0" w:line="400" w:lineRule="exact"/>
        <w:rPr>
          <w:rFonts w:ascii="宋体" w:hAnsi="宋体" w:eastAsia="宋体" w:cs="Times New Roman"/>
          <w:lang w:val="en-US" w:eastAsia="zh-CN"/>
        </w:rPr>
      </w:pPr>
      <w:r>
        <w:rPr>
          <w:rFonts w:ascii="宋体" w:hAnsi="宋体" w:eastAsia="宋体" w:cs="Times New Roman"/>
          <w:lang w:val="en-US" w:eastAsia="zh-CN"/>
        </w:rPr>
        <w:t xml:space="preserve">    （1</w:t>
      </w:r>
      <w:r>
        <w:rPr>
          <w:rFonts w:hint="default" w:ascii="宋体" w:hAnsi="宋体" w:eastAsia="宋体" w:cs="Times New Roman"/>
          <w:lang w:val="en" w:eastAsia="zh-CN"/>
        </w:rPr>
        <w:t>1</w:t>
      </w:r>
      <w:r>
        <w:rPr>
          <w:rFonts w:ascii="宋体" w:hAnsi="宋体" w:eastAsia="宋体" w:cs="Times New Roman"/>
          <w:lang w:val="en-US" w:eastAsia="zh-CN"/>
        </w:rPr>
        <w:t>）涉及商品包装和快递包装的，是否参考《商品包装政府采购需求标准（试行）》、《快递包装政府采购需求标准（试行）》明确产品及相关快递服务的具体包装要求：</w:t>
      </w:r>
    </w:p>
    <w:p w14:paraId="079EB0F2">
      <w:pPr>
        <w:widowControl w:val="0"/>
        <w:adjustRightInd w:val="0"/>
        <w:snapToGrid w:val="0"/>
        <w:spacing w:after="0" w:line="400" w:lineRule="exact"/>
        <w:ind w:firstLine="840" w:firstLineChars="400"/>
        <w:rPr>
          <w:rFonts w:ascii="宋体" w:hAnsi="宋体" w:eastAsia="宋体" w:cs="Times New Roman"/>
          <w:lang w:val="en-US" w:eastAsia="zh-CN"/>
        </w:rPr>
      </w:pPr>
      <w:r>
        <w:rPr>
          <w:rFonts w:ascii="宋体" w:hAnsi="宋体" w:eastAsia="宋体" w:cs="Times New Roman"/>
          <w:lang w:val="en-US" w:eastAsia="zh-CN"/>
        </w:rPr>
        <w:sym w:font="Wingdings" w:char="00A8"/>
      </w:r>
      <w:r>
        <w:rPr>
          <w:rFonts w:ascii="宋体" w:hAnsi="宋体" w:eastAsia="宋体" w:cs="Times New Roman"/>
          <w:lang w:val="en-US" w:eastAsia="zh-CN"/>
        </w:rPr>
        <w:t xml:space="preserve">是       </w:t>
      </w:r>
      <w:r>
        <w:rPr>
          <w:rFonts w:ascii="宋体" w:hAnsi="宋体" w:eastAsia="宋体" w:cs="Times New Roman"/>
          <w:lang w:val="en-US" w:eastAsia="zh-CN"/>
        </w:rPr>
        <w:sym w:font="Wingdings" w:char="00A8"/>
      </w:r>
      <w:r>
        <w:rPr>
          <w:rFonts w:ascii="宋体" w:hAnsi="宋体" w:eastAsia="宋体" w:cs="Times New Roman"/>
          <w:lang w:val="en-US" w:eastAsia="zh-CN"/>
        </w:rPr>
        <w:t xml:space="preserve">否      </w:t>
      </w:r>
      <w:r>
        <w:rPr>
          <w:rFonts w:ascii="宋体" w:hAnsi="宋体" w:eastAsia="宋体" w:cs="Times New Roman"/>
          <w:lang w:val="en-US" w:eastAsia="zh-CN"/>
        </w:rPr>
        <w:sym w:font="Wingdings" w:char="00A8"/>
      </w:r>
      <w:r>
        <w:rPr>
          <w:rFonts w:ascii="宋体" w:hAnsi="宋体" w:eastAsia="宋体" w:cs="Times New Roman"/>
          <w:lang w:val="en-US" w:eastAsia="zh-CN"/>
        </w:rPr>
        <w:t>不涉及</w:t>
      </w:r>
    </w:p>
    <w:p w14:paraId="2A22EE89">
      <w:pPr>
        <w:widowControl w:val="0"/>
        <w:numPr>
          <w:ilvl w:val="0"/>
          <w:numId w:val="6"/>
        </w:numPr>
        <w:adjustRightInd w:val="0"/>
        <w:snapToGrid w:val="0"/>
        <w:spacing w:after="0" w:line="400" w:lineRule="exact"/>
        <w:ind w:firstLine="422" w:firstLineChars="200"/>
        <w:rPr>
          <w:rFonts w:ascii="宋体" w:hAnsi="宋体" w:eastAsia="宋体" w:cs="Times New Roman"/>
          <w:b/>
          <w:lang w:val="en-US" w:eastAsia="zh-CN"/>
        </w:rPr>
      </w:pPr>
      <w:r>
        <w:rPr>
          <w:rFonts w:ascii="宋体" w:hAnsi="宋体" w:eastAsia="宋体" w:cs="Times New Roman"/>
          <w:b/>
          <w:lang w:val="en-US" w:eastAsia="zh-CN"/>
        </w:rPr>
        <w:t>合同金额</w:t>
      </w:r>
    </w:p>
    <w:p w14:paraId="48515047">
      <w:pPr>
        <w:widowControl w:val="0"/>
        <w:adjustRightInd w:val="0"/>
        <w:snapToGrid w:val="0"/>
        <w:spacing w:after="0" w:line="400" w:lineRule="exact"/>
        <w:ind w:firstLine="420" w:firstLineChars="200"/>
        <w:rPr>
          <w:rFonts w:ascii="宋体" w:hAnsi="宋体" w:eastAsia="宋体" w:cs="Times New Roman"/>
          <w:lang w:val="en-US" w:eastAsia="zh-CN"/>
        </w:rPr>
      </w:pPr>
      <w:r>
        <w:rPr>
          <w:rFonts w:ascii="宋体" w:hAnsi="宋体" w:eastAsia="宋体" w:cs="Times New Roman"/>
          <w:lang w:val="en-US" w:eastAsia="zh-CN"/>
        </w:rPr>
        <w:t>（1）合同金额小写：</w:t>
      </w:r>
      <w:r>
        <w:rPr>
          <w:rFonts w:ascii="宋体" w:hAnsi="宋体" w:eastAsia="宋体" w:cs="Times New Roman"/>
          <w:u w:val="single"/>
          <w:lang w:val="en-US" w:eastAsia="zh-CN"/>
        </w:rPr>
        <w:t xml:space="preserve">                           </w:t>
      </w:r>
    </w:p>
    <w:p w14:paraId="52FB76B1">
      <w:pPr>
        <w:widowControl w:val="0"/>
        <w:adjustRightInd w:val="0"/>
        <w:snapToGrid w:val="0"/>
        <w:spacing w:after="0" w:line="400" w:lineRule="exact"/>
        <w:rPr>
          <w:rFonts w:ascii="宋体" w:hAnsi="宋体" w:eastAsia="宋体" w:cs="Times New Roman"/>
          <w:u w:val="single"/>
          <w:lang w:val="en-US" w:eastAsia="zh-CN"/>
        </w:rPr>
      </w:pPr>
      <w:r>
        <w:rPr>
          <w:rFonts w:ascii="宋体" w:hAnsi="宋体" w:eastAsia="宋体" w:cs="Times New Roman"/>
          <w:lang w:val="en-US" w:eastAsia="zh-CN"/>
        </w:rPr>
        <w:t xml:space="preserve">                 大写：</w:t>
      </w:r>
      <w:r>
        <w:rPr>
          <w:rFonts w:ascii="宋体" w:hAnsi="宋体" w:eastAsia="宋体" w:cs="Times New Roman"/>
          <w:u w:val="single"/>
          <w:lang w:val="en-US" w:eastAsia="zh-CN"/>
        </w:rPr>
        <w:t xml:space="preserve">                           </w:t>
      </w:r>
    </w:p>
    <w:p w14:paraId="41E75186">
      <w:pPr>
        <w:widowControl w:val="0"/>
        <w:adjustRightInd w:val="0"/>
        <w:snapToGrid w:val="0"/>
        <w:spacing w:after="0" w:line="400" w:lineRule="exact"/>
        <w:rPr>
          <w:rFonts w:ascii="宋体" w:hAnsi="宋体" w:eastAsia="宋体" w:cs="Times New Roman"/>
          <w:lang w:val="en-US" w:eastAsia="zh-CN"/>
        </w:rPr>
      </w:pPr>
      <w:r>
        <w:rPr>
          <w:rFonts w:ascii="宋体" w:hAnsi="宋体" w:eastAsia="宋体" w:cs="Times New Roman"/>
          <w:lang w:val="en-US" w:eastAsia="zh-CN"/>
        </w:rPr>
        <w:t xml:space="preserve">         分包金额（如有）小写：</w:t>
      </w:r>
      <w:r>
        <w:rPr>
          <w:rFonts w:ascii="宋体" w:hAnsi="宋体" w:eastAsia="宋体" w:cs="Times New Roman"/>
          <w:u w:val="single"/>
          <w:lang w:val="en-US" w:eastAsia="zh-CN"/>
        </w:rPr>
        <w:t xml:space="preserve">                   </w:t>
      </w:r>
    </w:p>
    <w:p w14:paraId="7ECEFC2F">
      <w:pPr>
        <w:widowControl w:val="0"/>
        <w:adjustRightInd w:val="0"/>
        <w:snapToGrid w:val="0"/>
        <w:spacing w:after="0" w:line="400" w:lineRule="exact"/>
        <w:rPr>
          <w:rFonts w:ascii="宋体" w:hAnsi="宋体" w:eastAsia="宋体" w:cs="Times New Roman"/>
          <w:u w:val="single"/>
          <w:lang w:val="en-US" w:eastAsia="zh-CN"/>
        </w:rPr>
      </w:pPr>
      <w:r>
        <w:rPr>
          <w:rFonts w:ascii="宋体" w:hAnsi="宋体" w:eastAsia="宋体" w:cs="Times New Roman"/>
          <w:lang w:val="en-US" w:eastAsia="zh-CN"/>
        </w:rPr>
        <w:t xml:space="preserve">                     大写：</w:t>
      </w:r>
      <w:r>
        <w:rPr>
          <w:rFonts w:ascii="宋体" w:hAnsi="宋体" w:eastAsia="宋体" w:cs="Times New Roman"/>
          <w:u w:val="single"/>
          <w:lang w:val="en-US" w:eastAsia="zh-CN"/>
        </w:rPr>
        <w:t xml:space="preserve">                       </w:t>
      </w:r>
    </w:p>
    <w:p w14:paraId="075EEE4C">
      <w:pPr>
        <w:widowControl w:val="0"/>
        <w:adjustRightInd w:val="0"/>
        <w:snapToGrid w:val="0"/>
        <w:spacing w:after="0" w:line="400" w:lineRule="exact"/>
        <w:rPr>
          <w:rFonts w:ascii="宋体" w:hAnsi="宋体" w:eastAsia="宋体" w:cs="Times New Roman"/>
          <w:lang w:val="en-US" w:eastAsia="zh-CN"/>
        </w:rPr>
      </w:pPr>
      <w:r>
        <w:rPr>
          <w:rFonts w:ascii="宋体" w:hAnsi="宋体" w:eastAsia="宋体" w:cs="Times New Roman"/>
          <w:lang w:val="en-US" w:eastAsia="zh-CN"/>
        </w:rPr>
        <w:t xml:space="preserve">    （注：固定单价合同应填写单价和最高限价）</w:t>
      </w:r>
    </w:p>
    <w:p w14:paraId="33D40DB7">
      <w:pPr>
        <w:widowControl w:val="0"/>
        <w:adjustRightInd w:val="0"/>
        <w:snapToGrid w:val="0"/>
        <w:spacing w:after="0" w:line="400" w:lineRule="exact"/>
        <w:rPr>
          <w:rFonts w:ascii="宋体" w:hAnsi="宋体" w:eastAsia="宋体" w:cs="Times New Roman"/>
          <w:lang w:val="en-US" w:eastAsia="zh-CN"/>
        </w:rPr>
      </w:pPr>
      <w:r>
        <w:rPr>
          <w:rFonts w:ascii="宋体" w:hAnsi="宋体" w:eastAsia="宋体" w:cs="Times New Roman"/>
          <w:lang w:val="en-US" w:eastAsia="zh-CN"/>
        </w:rPr>
        <w:t xml:space="preserve">    （2）合同定价方式（采用组合定价方式的，可以勾选多项）：</w:t>
      </w:r>
    </w:p>
    <w:p w14:paraId="4E97A26D">
      <w:pPr>
        <w:widowControl w:val="0"/>
        <w:adjustRightInd w:val="0"/>
        <w:snapToGrid w:val="0"/>
        <w:spacing w:after="0" w:line="400" w:lineRule="exact"/>
        <w:ind w:firstLine="420" w:firstLineChars="200"/>
        <w:rPr>
          <w:rFonts w:ascii="宋体" w:hAnsi="宋体" w:eastAsia="宋体" w:cs="Times New Roman"/>
          <w:lang w:val="en-US" w:eastAsia="zh-CN"/>
        </w:rPr>
      </w:pPr>
      <w:r>
        <w:rPr>
          <w:rFonts w:ascii="宋体" w:hAnsi="宋体" w:eastAsia="宋体" w:cs="Times New Roman"/>
          <w:iCs/>
          <w:lang w:val="en-US" w:eastAsia="zh-CN"/>
        </w:rPr>
        <w:t xml:space="preserve">  </w:t>
      </w:r>
      <w:r>
        <w:rPr>
          <w:rFonts w:ascii="宋体" w:hAnsi="宋体" w:eastAsia="宋体" w:cs="Times New Roman"/>
          <w:iCs/>
          <w:lang w:val="en-US" w:eastAsia="zh-CN"/>
        </w:rPr>
        <w:sym w:font="Wingdings" w:char="00A8"/>
      </w:r>
      <w:r>
        <w:rPr>
          <w:rFonts w:ascii="宋体" w:hAnsi="宋体" w:eastAsia="宋体" w:cs="Times New Roman"/>
          <w:iCs/>
          <w:lang w:val="en-US" w:eastAsia="zh-CN"/>
        </w:rPr>
        <w:t xml:space="preserve">固定总价 </w:t>
      </w:r>
      <w:r>
        <w:rPr>
          <w:rFonts w:ascii="宋体" w:hAnsi="宋体" w:eastAsia="宋体" w:cs="Times New Roman"/>
          <w:iCs/>
          <w:lang w:val="en-US" w:eastAsia="zh-CN"/>
        </w:rPr>
        <w:sym w:font="Wingdings" w:char="00A8"/>
      </w:r>
      <w:r>
        <w:rPr>
          <w:rFonts w:ascii="宋体" w:hAnsi="宋体" w:eastAsia="宋体" w:cs="Times New Roman"/>
          <w:iCs/>
          <w:lang w:val="en-US" w:eastAsia="zh-CN"/>
        </w:rPr>
        <w:t xml:space="preserve">固定单价 </w:t>
      </w:r>
      <w:r>
        <w:rPr>
          <w:rFonts w:ascii="宋体" w:hAnsi="宋体" w:eastAsia="宋体" w:cs="Times New Roman"/>
          <w:iCs/>
          <w:lang w:val="en-US" w:eastAsia="zh-CN"/>
        </w:rPr>
        <w:sym w:font="Wingdings" w:char="00A8"/>
      </w:r>
      <w:r>
        <w:rPr>
          <w:rFonts w:ascii="宋体" w:hAnsi="宋体" w:eastAsia="宋体" w:cs="Times New Roman"/>
          <w:iCs/>
          <w:lang w:val="en-US" w:eastAsia="zh-CN"/>
        </w:rPr>
        <w:t xml:space="preserve">固定费率 </w:t>
      </w:r>
      <w:r>
        <w:rPr>
          <w:rFonts w:ascii="宋体" w:hAnsi="宋体" w:eastAsia="宋体" w:cs="Times New Roman"/>
          <w:iCs/>
          <w:lang w:val="en-US" w:eastAsia="zh-CN"/>
        </w:rPr>
        <w:sym w:font="Wingdings" w:char="00A8"/>
      </w:r>
      <w:r>
        <w:rPr>
          <w:rFonts w:ascii="宋体" w:hAnsi="宋体" w:eastAsia="宋体" w:cs="Times New Roman"/>
          <w:iCs/>
          <w:lang w:val="en-US" w:eastAsia="zh-CN"/>
        </w:rPr>
        <w:t xml:space="preserve">成本补偿 </w:t>
      </w:r>
      <w:r>
        <w:rPr>
          <w:rFonts w:ascii="宋体" w:hAnsi="宋体" w:eastAsia="宋体" w:cs="Times New Roman"/>
          <w:iCs/>
          <w:lang w:val="en-US" w:eastAsia="zh-CN"/>
        </w:rPr>
        <w:sym w:font="Wingdings" w:char="00A8"/>
      </w:r>
      <w:r>
        <w:rPr>
          <w:rFonts w:ascii="宋体" w:hAnsi="宋体" w:eastAsia="宋体" w:cs="Times New Roman"/>
          <w:iCs/>
          <w:lang w:val="en-US" w:eastAsia="zh-CN"/>
        </w:rPr>
        <w:t xml:space="preserve">绩效激励 </w:t>
      </w:r>
      <w:r>
        <w:rPr>
          <w:rFonts w:ascii="宋体" w:hAnsi="宋体" w:eastAsia="宋体" w:cs="Times New Roman"/>
          <w:iCs/>
          <w:lang w:val="en-US" w:eastAsia="zh-CN"/>
        </w:rPr>
        <w:sym w:font="Wingdings" w:char="00A8"/>
      </w:r>
      <w:r>
        <w:rPr>
          <w:rFonts w:ascii="宋体" w:hAnsi="宋体" w:eastAsia="宋体" w:cs="Times New Roman"/>
          <w:iCs/>
          <w:lang w:val="en-US" w:eastAsia="zh-CN"/>
        </w:rPr>
        <w:t>其他</w:t>
      </w:r>
      <w:r>
        <w:rPr>
          <w:rFonts w:ascii="宋体" w:hAnsi="宋体" w:eastAsia="宋体" w:cs="Times New Roman"/>
          <w:u w:val="single"/>
          <w:lang w:val="en-US" w:eastAsia="zh-CN"/>
        </w:rPr>
        <w:t xml:space="preserve">       </w:t>
      </w:r>
    </w:p>
    <w:p w14:paraId="34389F1A">
      <w:pPr>
        <w:widowControl w:val="0"/>
        <w:spacing w:after="0" w:line="400" w:lineRule="exact"/>
        <w:ind w:firstLine="420" w:firstLineChars="200"/>
        <w:rPr>
          <w:rFonts w:hint="default" w:ascii="Times New Roman" w:hAnsi="Times New Roman" w:eastAsia="宋体" w:cs="Times New Roman"/>
          <w:lang w:val="en-US" w:eastAsia="zh-CN"/>
        </w:rPr>
      </w:pPr>
      <w:r>
        <w:rPr>
          <w:rFonts w:ascii="宋体" w:hAnsi="宋体" w:eastAsia="宋体" w:cs="Times New Roman"/>
          <w:lang w:val="en-US" w:eastAsia="zh-CN"/>
        </w:rPr>
        <w:t>（3）付款方式（按项目实际勾选填写）：</w:t>
      </w:r>
    </w:p>
    <w:p w14:paraId="48408974">
      <w:pPr>
        <w:widowControl w:val="0"/>
        <w:adjustRightInd w:val="0"/>
        <w:snapToGrid w:val="0"/>
        <w:spacing w:after="0" w:line="400" w:lineRule="exact"/>
        <w:ind w:firstLine="630" w:firstLineChars="300"/>
        <w:rPr>
          <w:rFonts w:ascii="宋体" w:hAnsi="宋体" w:eastAsia="宋体" w:cs="Times New Roman"/>
          <w:u w:val="single"/>
          <w:lang w:val="en-US" w:eastAsia="zh-CN"/>
        </w:rPr>
      </w:pPr>
      <w:r>
        <w:rPr>
          <w:rFonts w:ascii="宋体" w:hAnsi="宋体" w:eastAsia="宋体" w:cs="Times New Roman"/>
          <w:lang w:val="en-US" w:eastAsia="zh-CN"/>
        </w:rPr>
        <w:sym w:font="Wingdings" w:char="00A8"/>
      </w:r>
      <w:r>
        <w:rPr>
          <w:rFonts w:ascii="宋体" w:hAnsi="宋体" w:eastAsia="宋体" w:cs="Times New Roman"/>
          <w:lang w:val="en-US" w:eastAsia="zh-CN"/>
        </w:rPr>
        <w:t>全额付款：</w:t>
      </w:r>
      <w:r>
        <w:rPr>
          <w:rFonts w:ascii="宋体" w:hAnsi="宋体" w:eastAsia="宋体" w:cs="Times New Roman"/>
          <w:u w:val="single"/>
          <w:lang w:val="en-US" w:eastAsia="zh-CN"/>
        </w:rPr>
        <w:t xml:space="preserve">     （应明确一次性支付合同款项的条件）                    </w:t>
      </w:r>
    </w:p>
    <w:p w14:paraId="42AA9DCD">
      <w:pPr>
        <w:widowControl w:val="0"/>
        <w:spacing w:after="0" w:line="240" w:lineRule="auto"/>
        <w:ind w:firstLine="630" w:firstLineChars="300"/>
        <w:rPr>
          <w:rFonts w:hint="default" w:ascii="宋体" w:hAnsi="宋体" w:eastAsia="宋体" w:cs="宋体"/>
          <w:caps/>
          <w:color w:val="auto"/>
          <w:u w:val="single"/>
          <w:lang w:val="en-US" w:eastAsia="zh-CN"/>
        </w:rPr>
      </w:pPr>
      <w:r>
        <w:rPr>
          <w:rFonts w:hint="default" w:ascii="宋体" w:hAnsi="宋体" w:eastAsia="宋体" w:cs="宋体"/>
          <w:caps/>
          <w:color w:val="auto"/>
          <w:u w:val="single"/>
          <w:lang w:val="en-US" w:eastAsia="zh-CN"/>
        </w:rPr>
        <w:sym w:font="Wingdings" w:char="00FE"/>
      </w:r>
      <w:r>
        <w:rPr>
          <w:rFonts w:hint="default" w:ascii="宋体" w:hAnsi="宋体" w:eastAsia="宋体" w:cs="宋体"/>
          <w:caps/>
          <w:color w:val="auto"/>
          <w:u w:val="single"/>
          <w:lang w:val="en-US" w:eastAsia="zh-CN"/>
        </w:rPr>
        <w:t>分期付款： 1.货物到场并开箱验收后，甲方向乙方支付合同金额的50%；</w:t>
      </w:r>
    </w:p>
    <w:p w14:paraId="6932D7CA">
      <w:pPr>
        <w:widowControl w:val="0"/>
        <w:spacing w:after="0" w:line="240" w:lineRule="auto"/>
        <w:ind w:firstLine="630" w:firstLineChars="300"/>
        <w:rPr>
          <w:rFonts w:ascii="宋体" w:hAnsi="宋体" w:eastAsia="宋体" w:cs="宋体"/>
          <w:caps/>
          <w:color w:val="auto"/>
          <w:u w:val="single"/>
          <w:lang w:val="en-US" w:eastAsia="zh-CN"/>
        </w:rPr>
      </w:pPr>
      <w:r>
        <w:rPr>
          <w:rFonts w:hint="default" w:ascii="宋体" w:hAnsi="宋体" w:eastAsia="宋体" w:cs="宋体"/>
          <w:caps/>
          <w:color w:val="auto"/>
          <w:u w:val="single"/>
          <w:lang w:val="en-US" w:eastAsia="zh-CN"/>
        </w:rPr>
        <w:t xml:space="preserve">2.货物安装调试完毕验收合格后，甲方向乙方支付合同金额的50%。 </w:t>
      </w:r>
    </w:p>
    <w:p w14:paraId="4A3167B9">
      <w:pPr>
        <w:widowControl w:val="0"/>
        <w:adjustRightInd w:val="0"/>
        <w:snapToGrid w:val="0"/>
        <w:spacing w:after="0" w:line="400" w:lineRule="exact"/>
        <w:ind w:firstLine="630" w:firstLineChars="300"/>
        <w:rPr>
          <w:rFonts w:ascii="宋体" w:hAnsi="宋体" w:eastAsia="宋体" w:cs="Times New Roman"/>
          <w:u w:val="single"/>
          <w:lang w:val="en-US" w:eastAsia="zh-CN"/>
        </w:rPr>
      </w:pPr>
      <w:r>
        <w:rPr>
          <w:rFonts w:ascii="宋体" w:hAnsi="宋体" w:eastAsia="宋体" w:cs="Times New Roman"/>
          <w:lang w:val="en-US" w:eastAsia="zh-CN"/>
        </w:rPr>
        <w:sym w:font="Wingdings" w:char="00A8"/>
      </w:r>
      <w:r>
        <w:rPr>
          <w:rFonts w:ascii="宋体" w:hAnsi="宋体" w:eastAsia="宋体" w:cs="Times New Roman"/>
          <w:lang w:val="en-US" w:eastAsia="zh-CN"/>
        </w:rPr>
        <w:t>成本补偿：</w:t>
      </w:r>
      <w:r>
        <w:rPr>
          <w:rFonts w:ascii="宋体" w:hAnsi="宋体" w:eastAsia="宋体" w:cs="Times New Roman"/>
          <w:u w:val="single"/>
          <w:lang w:val="en-US" w:eastAsia="zh-CN"/>
        </w:rPr>
        <w:t xml:space="preserve">      （应明确按照成本补偿方式的支付方式和支付条件）   </w:t>
      </w:r>
    </w:p>
    <w:p w14:paraId="27A20FFF">
      <w:pPr>
        <w:widowControl w:val="0"/>
        <w:adjustRightInd w:val="0"/>
        <w:snapToGrid w:val="0"/>
        <w:spacing w:after="0" w:line="400" w:lineRule="exact"/>
        <w:ind w:firstLine="630" w:firstLineChars="300"/>
        <w:rPr>
          <w:rFonts w:ascii="宋体" w:hAnsi="宋体" w:eastAsia="宋体" w:cs="Times New Roman"/>
          <w:u w:val="single"/>
          <w:lang w:val="en-US" w:eastAsia="zh-CN"/>
        </w:rPr>
      </w:pPr>
      <w:r>
        <w:rPr>
          <w:rFonts w:ascii="宋体" w:hAnsi="宋体" w:eastAsia="宋体" w:cs="Times New Roman"/>
          <w:lang w:val="en-US" w:eastAsia="zh-CN"/>
        </w:rPr>
        <w:sym w:font="Wingdings" w:char="00A8"/>
      </w:r>
      <w:r>
        <w:rPr>
          <w:rFonts w:ascii="宋体" w:hAnsi="宋体" w:eastAsia="宋体" w:cs="Times New Roman"/>
          <w:lang w:val="en-US" w:eastAsia="zh-CN"/>
        </w:rPr>
        <w:t>绩效激励：</w:t>
      </w:r>
      <w:r>
        <w:rPr>
          <w:rFonts w:ascii="宋体" w:hAnsi="宋体" w:eastAsia="宋体" w:cs="Times New Roman"/>
          <w:u w:val="single"/>
          <w:lang w:val="en-US" w:eastAsia="zh-CN"/>
        </w:rPr>
        <w:t xml:space="preserve">      （应明确按照绩效激励方式的支付方式和支付条件）   </w:t>
      </w:r>
    </w:p>
    <w:p w14:paraId="360FD4D8">
      <w:pPr>
        <w:widowControl w:val="0"/>
        <w:numPr>
          <w:ilvl w:val="0"/>
          <w:numId w:val="6"/>
        </w:numPr>
        <w:adjustRightInd w:val="0"/>
        <w:snapToGrid w:val="0"/>
        <w:spacing w:after="0" w:line="400" w:lineRule="exact"/>
        <w:ind w:firstLine="422" w:firstLineChars="200"/>
        <w:rPr>
          <w:rFonts w:ascii="宋体" w:hAnsi="宋体" w:eastAsia="宋体" w:cs="Times New Roman"/>
          <w:b/>
          <w:u w:val="single"/>
          <w:lang w:val="en-US" w:eastAsia="zh-CN"/>
        </w:rPr>
      </w:pPr>
      <w:r>
        <w:rPr>
          <w:rFonts w:ascii="宋体" w:hAnsi="宋体" w:eastAsia="宋体" w:cs="Times New Roman"/>
          <w:b/>
          <w:lang w:val="en-US" w:eastAsia="zh-CN"/>
        </w:rPr>
        <w:t>合同履行</w:t>
      </w:r>
    </w:p>
    <w:p w14:paraId="4F966500">
      <w:pPr>
        <w:widowControl w:val="0"/>
        <w:adjustRightInd w:val="0"/>
        <w:snapToGrid w:val="0"/>
        <w:spacing w:after="0" w:line="400" w:lineRule="exact"/>
        <w:ind w:firstLine="420" w:firstLineChars="200"/>
        <w:rPr>
          <w:rFonts w:ascii="宋体" w:hAnsi="宋体" w:eastAsia="宋体" w:cs="宋体"/>
          <w:lang w:val="en-US" w:eastAsia="zh-CN"/>
        </w:rPr>
      </w:pPr>
      <w:r>
        <w:rPr>
          <w:rFonts w:ascii="宋体" w:hAnsi="宋体" w:eastAsia="宋体" w:cs="宋体"/>
          <w:lang w:val="en-US" w:eastAsia="zh-CN"/>
        </w:rPr>
        <w:t>（1）起始日期：</w:t>
      </w:r>
      <w:r>
        <w:rPr>
          <w:rFonts w:ascii="宋体" w:hAnsi="宋体" w:eastAsia="宋体" w:cs="宋体"/>
          <w:u w:val="single"/>
          <w:lang w:val="en-US" w:eastAsia="zh-CN"/>
        </w:rPr>
        <w:t xml:space="preserve">      </w:t>
      </w:r>
      <w:r>
        <w:rPr>
          <w:rFonts w:ascii="宋体" w:hAnsi="宋体" w:eastAsia="宋体" w:cs="宋体"/>
          <w:lang w:val="en-US" w:eastAsia="zh-CN"/>
        </w:rPr>
        <w:t>年</w:t>
      </w:r>
      <w:r>
        <w:rPr>
          <w:rFonts w:ascii="宋体" w:hAnsi="宋体" w:eastAsia="宋体" w:cs="宋体"/>
          <w:u w:val="single"/>
          <w:lang w:val="en-US" w:eastAsia="zh-CN"/>
        </w:rPr>
        <w:t xml:space="preserve">     </w:t>
      </w:r>
      <w:r>
        <w:rPr>
          <w:rFonts w:ascii="宋体" w:hAnsi="宋体" w:eastAsia="宋体" w:cs="宋体"/>
          <w:lang w:val="en-US" w:eastAsia="zh-CN"/>
        </w:rPr>
        <w:t>月</w:t>
      </w:r>
      <w:r>
        <w:rPr>
          <w:rFonts w:ascii="宋体" w:hAnsi="宋体" w:eastAsia="宋体" w:cs="宋体"/>
          <w:u w:val="single"/>
          <w:lang w:val="en-US" w:eastAsia="zh-CN"/>
        </w:rPr>
        <w:t xml:space="preserve">     </w:t>
      </w:r>
      <w:r>
        <w:rPr>
          <w:rFonts w:ascii="宋体" w:hAnsi="宋体" w:eastAsia="宋体" w:cs="宋体"/>
          <w:lang w:val="en-US" w:eastAsia="zh-CN"/>
        </w:rPr>
        <w:t>日，完成日期：</w:t>
      </w:r>
      <w:r>
        <w:rPr>
          <w:rFonts w:ascii="宋体" w:hAnsi="宋体" w:eastAsia="宋体" w:cs="宋体"/>
          <w:u w:val="single"/>
          <w:lang w:val="en-US" w:eastAsia="zh-CN"/>
        </w:rPr>
        <w:t xml:space="preserve">      </w:t>
      </w:r>
      <w:r>
        <w:rPr>
          <w:rFonts w:ascii="宋体" w:hAnsi="宋体" w:eastAsia="宋体" w:cs="宋体"/>
          <w:lang w:val="en-US" w:eastAsia="zh-CN"/>
        </w:rPr>
        <w:t>年</w:t>
      </w:r>
      <w:r>
        <w:rPr>
          <w:rFonts w:ascii="宋体" w:hAnsi="宋体" w:eastAsia="宋体" w:cs="宋体"/>
          <w:u w:val="single"/>
          <w:lang w:val="en-US" w:eastAsia="zh-CN"/>
        </w:rPr>
        <w:t xml:space="preserve">     </w:t>
      </w:r>
      <w:r>
        <w:rPr>
          <w:rFonts w:ascii="宋体" w:hAnsi="宋体" w:eastAsia="宋体" w:cs="宋体"/>
          <w:lang w:val="en-US" w:eastAsia="zh-CN"/>
        </w:rPr>
        <w:t>月</w:t>
      </w:r>
      <w:r>
        <w:rPr>
          <w:rFonts w:ascii="宋体" w:hAnsi="宋体" w:eastAsia="宋体" w:cs="宋体"/>
          <w:u w:val="single"/>
          <w:lang w:val="en-US" w:eastAsia="zh-CN"/>
        </w:rPr>
        <w:t xml:space="preserve">     </w:t>
      </w:r>
      <w:r>
        <w:rPr>
          <w:rFonts w:ascii="宋体" w:hAnsi="宋体" w:eastAsia="宋体" w:cs="宋体"/>
          <w:lang w:val="en-US" w:eastAsia="zh-CN"/>
        </w:rPr>
        <w:t>日。</w:t>
      </w:r>
    </w:p>
    <w:p w14:paraId="4D9E1CDB">
      <w:pPr>
        <w:widowControl w:val="0"/>
        <w:adjustRightInd w:val="0"/>
        <w:snapToGrid w:val="0"/>
        <w:spacing w:after="0" w:line="400" w:lineRule="exact"/>
        <w:ind w:firstLine="420" w:firstLineChars="200"/>
        <w:rPr>
          <w:rFonts w:ascii="宋体" w:hAnsi="宋体" w:eastAsia="宋体" w:cs="宋体"/>
          <w:u w:val="single"/>
          <w:lang w:val="en-US" w:eastAsia="zh-CN"/>
        </w:rPr>
      </w:pPr>
      <w:r>
        <w:rPr>
          <w:rFonts w:ascii="宋体" w:hAnsi="宋体" w:eastAsia="宋体" w:cs="宋体"/>
          <w:lang w:val="en-US" w:eastAsia="zh-CN"/>
        </w:rPr>
        <w:t>（2）履约地点</w:t>
      </w:r>
      <w:r>
        <w:rPr>
          <w:rFonts w:ascii="宋体" w:hAnsi="宋体" w:eastAsia="宋体" w:cs="宋体"/>
          <w:bCs/>
          <w:lang w:val="en-US" w:eastAsia="zh-CN"/>
        </w:rPr>
        <w:t>：</w:t>
      </w:r>
      <w:r>
        <w:rPr>
          <w:rFonts w:ascii="宋体" w:hAnsi="宋体" w:eastAsia="宋体" w:cs="宋体"/>
          <w:u w:val="single"/>
          <w:lang w:val="en-US" w:eastAsia="zh-CN"/>
        </w:rPr>
        <w:t xml:space="preserve">  新乡医学院第一附属医院院内（卫辉市健康路88号）      </w:t>
      </w:r>
    </w:p>
    <w:p w14:paraId="17FCC04F">
      <w:pPr>
        <w:widowControl w:val="0"/>
        <w:adjustRightInd w:val="0"/>
        <w:snapToGrid w:val="0"/>
        <w:spacing w:after="0" w:line="400" w:lineRule="exact"/>
        <w:ind w:firstLine="420" w:firstLineChars="200"/>
        <w:rPr>
          <w:rFonts w:ascii="宋体" w:hAnsi="宋体" w:eastAsia="宋体" w:cs="宋体"/>
          <w:lang w:val="en-US" w:eastAsia="zh-CN"/>
        </w:rPr>
      </w:pPr>
      <w:r>
        <w:rPr>
          <w:rFonts w:ascii="宋体" w:hAnsi="宋体" w:eastAsia="宋体" w:cs="宋体"/>
          <w:bCs/>
          <w:lang w:val="en-US" w:eastAsia="zh-CN"/>
        </w:rPr>
        <w:t>（3）履约担保：</w:t>
      </w:r>
      <w:r>
        <w:rPr>
          <w:rFonts w:ascii="宋体" w:hAnsi="宋体" w:eastAsia="宋体" w:cs="宋体"/>
          <w:szCs w:val="24"/>
          <w:lang w:val="en-US" w:eastAsia="zh-CN"/>
        </w:rPr>
        <w:t>是否收取履约保证金：</w:t>
      </w:r>
      <w:r>
        <w:rPr>
          <w:rFonts w:ascii="宋体" w:hAnsi="宋体" w:eastAsia="宋体" w:cs="宋体"/>
          <w:lang w:val="en-US" w:eastAsia="zh-CN"/>
        </w:rPr>
        <w:sym w:font="Wingdings" w:char="00FE"/>
      </w:r>
      <w:r>
        <w:rPr>
          <w:rFonts w:ascii="宋体" w:hAnsi="宋体" w:eastAsia="宋体" w:cs="宋体"/>
          <w:lang w:val="en-US" w:eastAsia="zh-CN"/>
        </w:rPr>
        <w:t xml:space="preserve">是    </w:t>
      </w:r>
      <w:r>
        <w:rPr>
          <w:rFonts w:ascii="宋体" w:hAnsi="宋体" w:eastAsia="宋体" w:cs="宋体"/>
          <w:lang w:val="en-US" w:eastAsia="zh-CN"/>
        </w:rPr>
        <w:sym w:font="Wingdings" w:char="00A8"/>
      </w:r>
      <w:r>
        <w:rPr>
          <w:rFonts w:ascii="宋体" w:hAnsi="宋体" w:eastAsia="宋体" w:cs="宋体"/>
          <w:lang w:val="en-US" w:eastAsia="zh-CN"/>
        </w:rPr>
        <w:t>否</w:t>
      </w:r>
    </w:p>
    <w:p w14:paraId="56FFB040">
      <w:pPr>
        <w:widowControl w:val="0"/>
        <w:autoSpaceDE w:val="0"/>
        <w:autoSpaceDN w:val="0"/>
        <w:adjustRightInd w:val="0"/>
        <w:spacing w:after="0" w:line="400" w:lineRule="exact"/>
        <w:ind w:firstLine="440" w:firstLineChars="200"/>
        <w:rPr>
          <w:rFonts w:ascii="宋体" w:hAnsi="宋体" w:eastAsia="宋体" w:cs="宋体"/>
          <w:lang w:val="en-US" w:eastAsia="zh-CN"/>
        </w:rPr>
      </w:pPr>
      <w:r>
        <w:rPr>
          <w:rFonts w:ascii="宋体" w:hAnsi="宋体" w:eastAsia="华文楷体" w:cs="宋体"/>
          <w:bCs/>
          <w:sz w:val="22"/>
          <w:lang w:val="en-US" w:eastAsia="zh-CN"/>
        </w:rPr>
        <w:t xml:space="preserve">  </w:t>
      </w:r>
      <w:r>
        <w:rPr>
          <w:rFonts w:ascii="宋体" w:hAnsi="宋体" w:eastAsia="宋体" w:cs="宋体"/>
          <w:lang w:val="en-US" w:eastAsia="zh-CN"/>
        </w:rPr>
        <w:t xml:space="preserve">  收取履约保证金形式：</w:t>
      </w:r>
      <w:r>
        <w:rPr>
          <w:rFonts w:hint="default" w:ascii="Times New Roman" w:hAnsi="Times New Roman" w:eastAsia="宋体" w:cs="Times New Roman"/>
          <w:bCs/>
          <w:color w:val="auto"/>
          <w:sz w:val="21"/>
          <w:highlight w:val="none"/>
          <w:u w:val="single"/>
          <w:lang w:val="en-US" w:eastAsia="zh-CN"/>
        </w:rPr>
        <w:t>以支票、汇票、本票或者金融机构、担保机构出具的保函等非现金形式。</w:t>
      </w:r>
    </w:p>
    <w:p w14:paraId="29879FB2">
      <w:pPr>
        <w:widowControl w:val="0"/>
        <w:autoSpaceDE w:val="0"/>
        <w:autoSpaceDN w:val="0"/>
        <w:adjustRightInd w:val="0"/>
        <w:spacing w:after="0" w:line="400" w:lineRule="exact"/>
        <w:ind w:firstLine="420" w:firstLineChars="200"/>
        <w:rPr>
          <w:rFonts w:ascii="宋体" w:hAnsi="宋体" w:eastAsia="宋体" w:cs="宋体"/>
          <w:lang w:val="en-US" w:eastAsia="zh-CN"/>
        </w:rPr>
      </w:pPr>
      <w:r>
        <w:rPr>
          <w:rFonts w:ascii="宋体" w:hAnsi="宋体" w:eastAsia="宋体" w:cs="宋体"/>
          <w:lang w:val="en-US" w:eastAsia="zh-CN"/>
        </w:rPr>
        <w:t xml:space="preserve">    收取履约保证金金额：</w:t>
      </w:r>
      <w:r>
        <w:rPr>
          <w:rFonts w:ascii="宋体" w:hAnsi="宋体" w:eastAsia="宋体" w:cs="宋体"/>
          <w:bCs/>
          <w:u w:val="single"/>
          <w:lang w:val="en-US" w:eastAsia="zh-CN"/>
        </w:rPr>
        <w:t xml:space="preserve">  </w:t>
      </w:r>
      <w:r>
        <w:rPr>
          <w:rFonts w:ascii="宋体" w:hAnsi="宋体" w:eastAsia="宋体" w:cs="宋体"/>
          <w:bCs/>
          <w:sz w:val="22"/>
          <w:szCs w:val="22"/>
          <w:u w:val="single"/>
          <w:lang w:val="en-US" w:eastAsia="zh-CN"/>
        </w:rPr>
        <w:t xml:space="preserve"> </w:t>
      </w:r>
      <w:r>
        <w:rPr>
          <w:rFonts w:ascii="宋体" w:hAnsi="宋体" w:eastAsia="宋体" w:cs="宋体"/>
          <w:caps/>
          <w:sz w:val="22"/>
          <w:szCs w:val="22"/>
          <w:u w:val="single"/>
          <w:lang w:val="en-US" w:eastAsia="zh-CN"/>
        </w:rPr>
        <w:t>合同总金额的</w:t>
      </w:r>
      <w:r>
        <w:rPr>
          <w:rFonts w:hint="eastAsia" w:ascii="宋体" w:hAnsi="宋体" w:eastAsia="宋体" w:cs="宋体"/>
          <w:caps/>
          <w:sz w:val="22"/>
          <w:szCs w:val="22"/>
          <w:u w:val="single"/>
          <w:lang w:val="en-US" w:eastAsia="zh-CN"/>
        </w:rPr>
        <w:t>5</w:t>
      </w:r>
      <w:r>
        <w:rPr>
          <w:rFonts w:ascii="宋体" w:hAnsi="宋体" w:eastAsia="宋体" w:cs="宋体"/>
          <w:caps/>
          <w:sz w:val="22"/>
          <w:szCs w:val="22"/>
          <w:u w:val="single"/>
          <w:lang w:val="en-US" w:eastAsia="zh-CN"/>
        </w:rPr>
        <w:t>%</w:t>
      </w:r>
      <w:r>
        <w:rPr>
          <w:rFonts w:ascii="宋体" w:hAnsi="宋体" w:eastAsia="宋体" w:cs="宋体"/>
          <w:bCs/>
          <w:sz w:val="22"/>
          <w:szCs w:val="22"/>
          <w:u w:val="single"/>
          <w:lang w:val="en-US" w:eastAsia="zh-CN"/>
        </w:rPr>
        <w:t xml:space="preserve"> </w:t>
      </w:r>
      <w:r>
        <w:rPr>
          <w:rFonts w:ascii="宋体" w:hAnsi="宋体" w:eastAsia="宋体" w:cs="宋体"/>
          <w:caps/>
          <w:sz w:val="22"/>
          <w:u w:val="single"/>
          <w:lang w:val="en-US" w:eastAsia="zh-CN"/>
        </w:rPr>
        <w:t xml:space="preserve">      </w:t>
      </w:r>
      <w:r>
        <w:rPr>
          <w:rFonts w:ascii="宋体" w:hAnsi="宋体" w:eastAsia="宋体" w:cs="宋体"/>
          <w:bCs/>
          <w:u w:val="single"/>
          <w:lang w:val="en-US" w:eastAsia="zh-CN"/>
        </w:rPr>
        <w:t xml:space="preserve">       </w:t>
      </w:r>
    </w:p>
    <w:p w14:paraId="03CEB770">
      <w:pPr>
        <w:widowControl w:val="0"/>
        <w:snapToGrid w:val="0"/>
        <w:spacing w:after="0" w:line="400" w:lineRule="exact"/>
        <w:ind w:firstLine="420" w:firstLineChars="200"/>
        <w:rPr>
          <w:rFonts w:ascii="宋体" w:hAnsi="宋体" w:eastAsia="宋体" w:cs="宋体"/>
          <w:szCs w:val="24"/>
          <w:lang w:val="en-US" w:eastAsia="zh-CN"/>
        </w:rPr>
      </w:pPr>
      <w:r>
        <w:rPr>
          <w:rFonts w:ascii="宋体" w:hAnsi="宋体" w:eastAsia="宋体" w:cs="宋体"/>
          <w:bCs/>
          <w:lang w:val="en-US" w:eastAsia="zh-CN"/>
        </w:rPr>
        <w:t xml:space="preserve">    履约担保期限：</w:t>
      </w:r>
      <w:r>
        <w:rPr>
          <w:rFonts w:ascii="宋体" w:hAnsi="宋体" w:eastAsia="宋体" w:cs="宋体"/>
          <w:bCs/>
          <w:u w:val="single"/>
          <w:lang w:val="en-US" w:eastAsia="zh-CN"/>
        </w:rPr>
        <w:t xml:space="preserve">         </w:t>
      </w:r>
      <w:r>
        <w:rPr>
          <w:rFonts w:hint="default" w:ascii="宋体" w:hAnsi="宋体" w:eastAsia="宋体" w:cs="宋体"/>
          <w:bCs/>
          <w:u w:val="single"/>
          <w:lang w:val="en-US" w:eastAsia="zh-CN"/>
        </w:rPr>
        <w:t xml:space="preserve">          </w:t>
      </w:r>
      <w:r>
        <w:rPr>
          <w:rFonts w:ascii="宋体" w:hAnsi="宋体" w:eastAsia="宋体" w:cs="宋体"/>
          <w:bCs/>
          <w:u w:val="single"/>
          <w:lang w:val="en-US" w:eastAsia="zh-CN"/>
        </w:rPr>
        <w:t xml:space="preserve">              </w:t>
      </w:r>
    </w:p>
    <w:p w14:paraId="30CAB7F3">
      <w:pPr>
        <w:widowControl w:val="0"/>
        <w:adjustRightInd w:val="0"/>
        <w:snapToGrid w:val="0"/>
        <w:spacing w:after="0" w:line="400" w:lineRule="exact"/>
        <w:ind w:firstLine="420" w:firstLineChars="200"/>
        <w:rPr>
          <w:rFonts w:ascii="宋体" w:hAnsi="宋体" w:eastAsia="宋体" w:cs="宋体"/>
          <w:bCs/>
          <w:lang w:val="en-US" w:eastAsia="zh-CN"/>
        </w:rPr>
      </w:pPr>
      <w:r>
        <w:rPr>
          <w:rFonts w:ascii="宋体" w:hAnsi="宋体" w:eastAsia="宋体" w:cs="宋体"/>
          <w:bCs/>
          <w:lang w:val="en-US" w:eastAsia="zh-CN"/>
        </w:rPr>
        <w:t>（4）分期履行要求：</w:t>
      </w:r>
      <w:r>
        <w:rPr>
          <w:rFonts w:ascii="宋体" w:hAnsi="宋体" w:eastAsia="宋体" w:cs="宋体"/>
          <w:bCs/>
          <w:u w:val="single"/>
          <w:lang w:val="en-US" w:eastAsia="zh-CN"/>
        </w:rPr>
        <w:t xml:space="preserve">                                                        </w:t>
      </w:r>
    </w:p>
    <w:p w14:paraId="781C2CA2">
      <w:pPr>
        <w:widowControl w:val="0"/>
        <w:adjustRightInd w:val="0"/>
        <w:snapToGrid w:val="0"/>
        <w:spacing w:after="0" w:line="400" w:lineRule="exact"/>
        <w:ind w:firstLine="420" w:firstLineChars="200"/>
        <w:rPr>
          <w:rFonts w:ascii="宋体" w:hAnsi="宋体" w:eastAsia="宋体" w:cs="宋体"/>
          <w:u w:val="single"/>
          <w:lang w:val="en-US" w:eastAsia="zh-CN"/>
        </w:rPr>
      </w:pPr>
      <w:r>
        <w:rPr>
          <w:rFonts w:ascii="宋体" w:hAnsi="宋体" w:eastAsia="宋体" w:cs="宋体"/>
          <w:bCs/>
          <w:lang w:val="en-US" w:eastAsia="zh-CN"/>
        </w:rPr>
        <w:t>（5）风险处置措施和替代方案：</w:t>
      </w:r>
      <w:r>
        <w:rPr>
          <w:rFonts w:ascii="宋体" w:hAnsi="宋体" w:eastAsia="宋体" w:cs="宋体"/>
          <w:color w:val="0000FF"/>
          <w:u w:val="single"/>
          <w:lang w:val="en-US" w:eastAsia="zh-CN"/>
        </w:rPr>
        <w:t xml:space="preserve"> </w:t>
      </w:r>
      <w:r>
        <w:rPr>
          <w:rFonts w:ascii="宋体" w:hAnsi="宋体" w:eastAsia="宋体" w:cs="宋体"/>
          <w:u w:val="single"/>
          <w:lang w:val="en-US" w:eastAsia="zh-CN"/>
        </w:rPr>
        <w:t xml:space="preserve">                                                </w:t>
      </w:r>
    </w:p>
    <w:p w14:paraId="4512F8CF">
      <w:pPr>
        <w:widowControl w:val="0"/>
        <w:numPr>
          <w:ilvl w:val="0"/>
          <w:numId w:val="6"/>
        </w:numPr>
        <w:adjustRightInd w:val="0"/>
        <w:snapToGrid w:val="0"/>
        <w:spacing w:after="0" w:line="400" w:lineRule="exact"/>
        <w:ind w:firstLine="422" w:firstLineChars="200"/>
        <w:rPr>
          <w:rFonts w:ascii="宋体" w:hAnsi="宋体" w:eastAsia="宋体" w:cs="Times New Roman"/>
          <w:b/>
          <w:lang w:val="en-US" w:eastAsia="zh-CN"/>
        </w:rPr>
      </w:pPr>
      <w:r>
        <w:rPr>
          <w:rFonts w:ascii="宋体" w:hAnsi="宋体" w:eastAsia="宋体" w:cs="Times New Roman"/>
          <w:b/>
          <w:lang w:val="en-US" w:eastAsia="zh-CN"/>
        </w:rPr>
        <w:t>合同验收</w:t>
      </w:r>
    </w:p>
    <w:p w14:paraId="37BE9067">
      <w:pPr>
        <w:widowControl w:val="0"/>
        <w:numPr>
          <w:ilvl w:val="0"/>
          <w:numId w:val="8"/>
        </w:numPr>
        <w:adjustRightInd w:val="0"/>
        <w:snapToGrid w:val="0"/>
        <w:spacing w:after="0" w:line="400" w:lineRule="exact"/>
        <w:ind w:firstLine="420" w:firstLineChars="200"/>
        <w:rPr>
          <w:rFonts w:ascii="宋体" w:hAnsi="宋体" w:eastAsia="宋体" w:cs="Times New Roman"/>
          <w:bCs/>
          <w:lang w:val="en-US" w:eastAsia="zh-CN"/>
        </w:rPr>
      </w:pPr>
      <w:r>
        <w:rPr>
          <w:rFonts w:ascii="宋体" w:hAnsi="宋体" w:eastAsia="宋体" w:cs="Times New Roman"/>
          <w:bCs/>
          <w:lang w:val="en-US" w:eastAsia="zh-CN"/>
        </w:rPr>
        <w:t>验收组织方式：</w:t>
      </w:r>
      <w:r>
        <w:rPr>
          <w:rFonts w:ascii="宋体" w:hAnsi="宋体" w:eastAsia="宋体" w:cs="宋体"/>
          <w:lang w:val="en-US" w:eastAsia="zh-CN"/>
        </w:rPr>
        <w:sym w:font="Wingdings" w:char="00FE"/>
      </w:r>
      <w:r>
        <w:rPr>
          <w:rFonts w:ascii="宋体" w:hAnsi="宋体" w:eastAsia="宋体" w:cs="Times New Roman"/>
          <w:bCs/>
          <w:lang w:val="en-US" w:eastAsia="zh-CN"/>
        </w:rPr>
        <w:t xml:space="preserve">自行组织 </w:t>
      </w:r>
      <w:r>
        <w:rPr>
          <w:rFonts w:ascii="宋体" w:hAnsi="宋体" w:eastAsia="宋体" w:cs="宋体"/>
          <w:lang w:val="en-US" w:eastAsia="zh-CN"/>
        </w:rPr>
        <w:sym w:font="Wingdings" w:char="00A8"/>
      </w:r>
      <w:r>
        <w:rPr>
          <w:rFonts w:ascii="宋体" w:hAnsi="宋体" w:eastAsia="宋体" w:cs="Times New Roman"/>
          <w:bCs/>
          <w:lang w:val="en-US" w:eastAsia="zh-CN"/>
        </w:rPr>
        <w:t>委托第三方组织</w:t>
      </w:r>
    </w:p>
    <w:p w14:paraId="2DC791AF">
      <w:pPr>
        <w:widowControl w:val="0"/>
        <w:adjustRightInd w:val="0"/>
        <w:snapToGrid w:val="0"/>
        <w:spacing w:after="0" w:line="400" w:lineRule="exact"/>
        <w:rPr>
          <w:rFonts w:ascii="宋体" w:hAnsi="宋体" w:eastAsia="宋体" w:cs="Times New Roman"/>
          <w:bCs/>
          <w:lang w:val="en-US" w:eastAsia="zh-CN"/>
        </w:rPr>
      </w:pPr>
      <w:r>
        <w:rPr>
          <w:rFonts w:ascii="宋体" w:hAnsi="宋体" w:eastAsia="宋体" w:cs="Times New Roman"/>
          <w:bCs/>
          <w:lang w:val="en-US" w:eastAsia="zh-CN"/>
        </w:rPr>
        <w:t xml:space="preserve">         验收主体：</w:t>
      </w:r>
      <w:r>
        <w:rPr>
          <w:rFonts w:ascii="宋体" w:hAnsi="宋体" w:eastAsia="宋体" w:cs="Times New Roman"/>
          <w:bCs/>
          <w:u w:val="single"/>
          <w:lang w:val="en-US" w:eastAsia="zh-CN"/>
        </w:rPr>
        <w:t xml:space="preserve">  </w:t>
      </w:r>
      <w:r>
        <w:rPr>
          <w:rFonts w:ascii="宋体" w:hAnsi="宋体" w:eastAsia="宋体" w:cs="宋体"/>
          <w:u w:val="single"/>
          <w:lang w:val="en-US" w:eastAsia="zh-CN"/>
        </w:rPr>
        <w:t>新乡医学院第一附属医院</w:t>
      </w:r>
      <w:r>
        <w:rPr>
          <w:rFonts w:ascii="宋体" w:hAnsi="宋体" w:eastAsia="宋体" w:cs="Times New Roman"/>
          <w:bCs/>
          <w:u w:val="single"/>
          <w:lang w:val="en-US" w:eastAsia="zh-CN"/>
        </w:rPr>
        <w:t xml:space="preserve">   </w:t>
      </w:r>
    </w:p>
    <w:p w14:paraId="0F55EF04">
      <w:pPr>
        <w:widowControl w:val="0"/>
        <w:adjustRightInd w:val="0"/>
        <w:snapToGrid w:val="0"/>
        <w:spacing w:after="0" w:line="400" w:lineRule="exact"/>
        <w:rPr>
          <w:rFonts w:ascii="宋体" w:hAnsi="宋体" w:eastAsia="宋体" w:cs="Times New Roman"/>
          <w:bCs/>
          <w:lang w:val="en-US" w:eastAsia="zh-CN"/>
        </w:rPr>
      </w:pPr>
      <w:r>
        <w:rPr>
          <w:rFonts w:ascii="宋体" w:hAnsi="宋体" w:eastAsia="宋体" w:cs="Times New Roman"/>
          <w:bCs/>
          <w:lang w:val="en-US" w:eastAsia="zh-CN"/>
        </w:rPr>
        <w:t xml:space="preserve">        是否邀请本项目的其他供应商参加验收：</w:t>
      </w:r>
      <w:r>
        <w:rPr>
          <w:rFonts w:ascii="宋体" w:hAnsi="宋体" w:eastAsia="宋体" w:cs="宋体"/>
          <w:lang w:val="en-US" w:eastAsia="zh-CN"/>
        </w:rPr>
        <w:sym w:font="Wingdings" w:char="00A8"/>
      </w:r>
      <w:r>
        <w:rPr>
          <w:rFonts w:ascii="宋体" w:hAnsi="宋体" w:eastAsia="宋体" w:cs="Times New Roman"/>
          <w:bCs/>
          <w:lang w:val="en-US" w:eastAsia="zh-CN"/>
        </w:rPr>
        <w:t xml:space="preserve">是  </w:t>
      </w:r>
      <w:r>
        <w:rPr>
          <w:rFonts w:ascii="宋体" w:hAnsi="宋体" w:eastAsia="宋体" w:cs="宋体"/>
          <w:lang w:val="en-US" w:eastAsia="zh-CN"/>
        </w:rPr>
        <w:sym w:font="Wingdings" w:char="00FE"/>
      </w:r>
      <w:r>
        <w:rPr>
          <w:rFonts w:ascii="宋体" w:hAnsi="宋体" w:eastAsia="宋体" w:cs="Times New Roman"/>
          <w:bCs/>
          <w:lang w:val="en-US" w:eastAsia="zh-CN"/>
        </w:rPr>
        <w:t>否</w:t>
      </w:r>
    </w:p>
    <w:p w14:paraId="13B0D700">
      <w:pPr>
        <w:widowControl w:val="0"/>
        <w:adjustRightInd w:val="0"/>
        <w:snapToGrid w:val="0"/>
        <w:spacing w:after="0" w:line="400" w:lineRule="exact"/>
        <w:ind w:firstLine="840" w:firstLineChars="400"/>
        <w:rPr>
          <w:rFonts w:ascii="宋体" w:hAnsi="宋体" w:eastAsia="宋体" w:cs="Times New Roman"/>
          <w:bCs/>
          <w:lang w:val="en-US" w:eastAsia="zh-CN"/>
        </w:rPr>
      </w:pPr>
      <w:r>
        <w:rPr>
          <w:rFonts w:ascii="宋体" w:hAnsi="宋体" w:eastAsia="宋体" w:cs="Times New Roman"/>
          <w:bCs/>
          <w:lang w:val="en-US" w:eastAsia="zh-CN"/>
        </w:rPr>
        <w:t>是否邀请专家参加验收：</w:t>
      </w:r>
      <w:r>
        <w:rPr>
          <w:rFonts w:ascii="宋体" w:hAnsi="宋体" w:eastAsia="宋体" w:cs="宋体"/>
          <w:lang w:val="en-US" w:eastAsia="zh-CN"/>
        </w:rPr>
        <w:sym w:font="Wingdings" w:char="00FE"/>
      </w:r>
      <w:r>
        <w:rPr>
          <w:rFonts w:ascii="宋体" w:hAnsi="宋体" w:eastAsia="宋体" w:cs="Times New Roman"/>
          <w:bCs/>
          <w:lang w:val="en-US" w:eastAsia="zh-CN"/>
        </w:rPr>
        <w:t xml:space="preserve">是  </w:t>
      </w:r>
      <w:r>
        <w:rPr>
          <w:rFonts w:ascii="宋体" w:hAnsi="宋体" w:eastAsia="宋体" w:cs="宋体"/>
          <w:lang w:val="en-US" w:eastAsia="zh-CN"/>
        </w:rPr>
        <w:sym w:font="Wingdings" w:char="00A8"/>
      </w:r>
      <w:r>
        <w:rPr>
          <w:rFonts w:ascii="宋体" w:hAnsi="宋体" w:eastAsia="宋体" w:cs="Times New Roman"/>
          <w:bCs/>
          <w:lang w:val="en-US" w:eastAsia="zh-CN"/>
        </w:rPr>
        <w:t>否</w:t>
      </w:r>
    </w:p>
    <w:p w14:paraId="10E10AEA">
      <w:pPr>
        <w:widowControl w:val="0"/>
        <w:adjustRightInd w:val="0"/>
        <w:snapToGrid w:val="0"/>
        <w:spacing w:after="0" w:line="400" w:lineRule="exact"/>
        <w:ind w:firstLine="840" w:firstLineChars="400"/>
        <w:rPr>
          <w:rFonts w:ascii="宋体" w:hAnsi="宋体" w:eastAsia="宋体" w:cs="Times New Roman"/>
          <w:bCs/>
          <w:lang w:val="en-US" w:eastAsia="zh-CN"/>
        </w:rPr>
      </w:pPr>
      <w:r>
        <w:rPr>
          <w:rFonts w:ascii="宋体" w:hAnsi="宋体" w:eastAsia="宋体" w:cs="Times New Roman"/>
          <w:bCs/>
          <w:lang w:val="en-US" w:eastAsia="zh-CN"/>
        </w:rPr>
        <w:t>是否邀请服务对象参加验收：</w:t>
      </w:r>
      <w:r>
        <w:rPr>
          <w:rFonts w:ascii="宋体" w:hAnsi="宋体" w:eastAsia="宋体" w:cs="宋体"/>
          <w:lang w:val="en-US" w:eastAsia="zh-CN"/>
        </w:rPr>
        <w:sym w:font="Wingdings" w:char="00A8"/>
      </w:r>
      <w:r>
        <w:rPr>
          <w:rFonts w:ascii="宋体" w:hAnsi="宋体" w:eastAsia="宋体" w:cs="Times New Roman"/>
          <w:bCs/>
          <w:lang w:val="en-US" w:eastAsia="zh-CN"/>
        </w:rPr>
        <w:t xml:space="preserve">是  </w:t>
      </w:r>
      <w:r>
        <w:rPr>
          <w:rFonts w:ascii="宋体" w:hAnsi="宋体" w:eastAsia="宋体" w:cs="宋体"/>
          <w:lang w:val="en-US" w:eastAsia="zh-CN"/>
        </w:rPr>
        <w:sym w:font="Wingdings" w:char="00FE"/>
      </w:r>
      <w:r>
        <w:rPr>
          <w:rFonts w:ascii="宋体" w:hAnsi="宋体" w:eastAsia="宋体" w:cs="Times New Roman"/>
          <w:bCs/>
          <w:lang w:val="en-US" w:eastAsia="zh-CN"/>
        </w:rPr>
        <w:t>否</w:t>
      </w:r>
    </w:p>
    <w:p w14:paraId="68168A39">
      <w:pPr>
        <w:widowControl w:val="0"/>
        <w:adjustRightInd w:val="0"/>
        <w:snapToGrid w:val="0"/>
        <w:spacing w:after="0" w:line="400" w:lineRule="exact"/>
        <w:ind w:firstLine="840" w:firstLineChars="400"/>
        <w:rPr>
          <w:rFonts w:ascii="宋体" w:hAnsi="宋体" w:eastAsia="宋体" w:cs="Times New Roman"/>
          <w:bCs/>
          <w:lang w:val="en-US" w:eastAsia="zh-CN"/>
        </w:rPr>
      </w:pPr>
      <w:r>
        <w:rPr>
          <w:rFonts w:ascii="宋体" w:hAnsi="宋体" w:eastAsia="宋体" w:cs="Times New Roman"/>
          <w:bCs/>
          <w:lang w:val="en-US" w:eastAsia="zh-CN"/>
        </w:rPr>
        <w:t>是否邀请第三方检测机构参加验收：</w:t>
      </w:r>
      <w:r>
        <w:rPr>
          <w:rFonts w:ascii="宋体" w:hAnsi="宋体" w:eastAsia="宋体" w:cs="宋体"/>
          <w:lang w:val="en-US" w:eastAsia="zh-CN"/>
        </w:rPr>
        <w:sym w:font="Wingdings" w:char="00A8"/>
      </w:r>
      <w:r>
        <w:rPr>
          <w:rFonts w:ascii="宋体" w:hAnsi="宋体" w:eastAsia="宋体" w:cs="Times New Roman"/>
          <w:bCs/>
          <w:lang w:val="en-US" w:eastAsia="zh-CN"/>
        </w:rPr>
        <w:t xml:space="preserve">是  </w:t>
      </w:r>
      <w:r>
        <w:rPr>
          <w:rFonts w:ascii="宋体" w:hAnsi="宋体" w:eastAsia="宋体" w:cs="宋体"/>
          <w:lang w:val="en-US" w:eastAsia="zh-CN"/>
        </w:rPr>
        <w:sym w:font="Wingdings" w:char="00FE"/>
      </w:r>
      <w:r>
        <w:rPr>
          <w:rFonts w:ascii="宋体" w:hAnsi="宋体" w:eastAsia="宋体" w:cs="Times New Roman"/>
          <w:bCs/>
          <w:lang w:val="en-US" w:eastAsia="zh-CN"/>
        </w:rPr>
        <w:t>否</w:t>
      </w:r>
    </w:p>
    <w:p w14:paraId="3017212D">
      <w:pPr>
        <w:widowControl w:val="0"/>
        <w:adjustRightInd w:val="0"/>
        <w:snapToGrid w:val="0"/>
        <w:spacing w:after="0" w:line="400" w:lineRule="exact"/>
        <w:ind w:firstLine="840" w:firstLineChars="400"/>
        <w:rPr>
          <w:rFonts w:ascii="宋体" w:hAnsi="宋体" w:eastAsia="宋体" w:cs="Times New Roman"/>
          <w:bCs/>
          <w:lang w:val="en-US" w:eastAsia="zh-CN"/>
        </w:rPr>
      </w:pPr>
      <w:r>
        <w:rPr>
          <w:rFonts w:ascii="宋体" w:hAnsi="宋体" w:eastAsia="宋体" w:cs="Times New Roman"/>
          <w:bCs/>
          <w:lang w:val="en-US" w:eastAsia="zh-CN"/>
        </w:rPr>
        <w:t>是否进行抽查检测：</w:t>
      </w:r>
      <w:r>
        <w:rPr>
          <w:rFonts w:ascii="宋体" w:hAnsi="宋体" w:eastAsia="宋体" w:cs="宋体"/>
          <w:lang w:val="en-US" w:eastAsia="zh-CN"/>
        </w:rPr>
        <w:sym w:font="Wingdings" w:char="00A8"/>
      </w:r>
      <w:r>
        <w:rPr>
          <w:rFonts w:ascii="宋体" w:hAnsi="宋体" w:eastAsia="宋体" w:cs="Times New Roman"/>
          <w:bCs/>
          <w:lang w:val="en-US" w:eastAsia="zh-CN"/>
        </w:rPr>
        <w:t>是，抽查比例：</w:t>
      </w:r>
      <w:r>
        <w:rPr>
          <w:rFonts w:ascii="宋体" w:hAnsi="宋体" w:eastAsia="宋体" w:cs="Times New Roman"/>
          <w:bCs/>
          <w:u w:val="single"/>
          <w:lang w:val="en-US" w:eastAsia="zh-CN"/>
        </w:rPr>
        <w:t xml:space="preserve">        </w:t>
      </w:r>
      <w:r>
        <w:rPr>
          <w:rFonts w:ascii="宋体" w:hAnsi="宋体" w:eastAsia="宋体" w:cs="Times New Roman"/>
          <w:bCs/>
          <w:lang w:val="en-US" w:eastAsia="zh-CN"/>
        </w:rPr>
        <w:t xml:space="preserve"> </w:t>
      </w:r>
      <w:r>
        <w:rPr>
          <w:rFonts w:ascii="宋体" w:hAnsi="宋体" w:eastAsia="宋体" w:cs="宋体"/>
          <w:lang w:val="en-US" w:eastAsia="zh-CN"/>
        </w:rPr>
        <w:sym w:font="Wingdings" w:char="00FE"/>
      </w:r>
      <w:r>
        <w:rPr>
          <w:rFonts w:ascii="宋体" w:hAnsi="宋体" w:eastAsia="宋体" w:cs="Times New Roman"/>
          <w:bCs/>
          <w:lang w:val="en-US" w:eastAsia="zh-CN"/>
        </w:rPr>
        <w:t>否</w:t>
      </w:r>
    </w:p>
    <w:p w14:paraId="3ABA342B">
      <w:pPr>
        <w:widowControl w:val="0"/>
        <w:adjustRightInd w:val="0"/>
        <w:snapToGrid w:val="0"/>
        <w:spacing w:after="0" w:line="400" w:lineRule="exact"/>
        <w:ind w:firstLine="840" w:firstLineChars="400"/>
        <w:rPr>
          <w:rFonts w:ascii="宋体" w:hAnsi="宋体" w:eastAsia="宋体" w:cs="Times New Roman"/>
          <w:bCs/>
          <w:u w:val="single"/>
          <w:lang w:val="en-US" w:eastAsia="zh-CN"/>
        </w:rPr>
      </w:pPr>
      <w:r>
        <w:rPr>
          <w:rFonts w:ascii="宋体" w:hAnsi="宋体" w:eastAsia="宋体" w:cs="Times New Roman"/>
          <w:bCs/>
          <w:lang w:val="en-US" w:eastAsia="zh-CN"/>
        </w:rPr>
        <w:t>是否存在破坏性检测：</w:t>
      </w:r>
      <w:r>
        <w:rPr>
          <w:rFonts w:ascii="宋体" w:hAnsi="宋体" w:eastAsia="宋体" w:cs="宋体"/>
          <w:lang w:val="en-US" w:eastAsia="zh-CN"/>
        </w:rPr>
        <w:sym w:font="Wingdings" w:char="00A8"/>
      </w:r>
      <w:r>
        <w:rPr>
          <w:rFonts w:ascii="宋体" w:hAnsi="宋体" w:eastAsia="宋体" w:cs="Times New Roman"/>
          <w:bCs/>
          <w:lang w:val="en-US" w:eastAsia="zh-CN"/>
        </w:rPr>
        <w:t>是，</w:t>
      </w:r>
      <w:r>
        <w:rPr>
          <w:rFonts w:ascii="宋体" w:hAnsi="宋体" w:eastAsia="宋体" w:cs="Times New Roman"/>
          <w:bCs/>
          <w:u w:val="single"/>
          <w:lang w:val="en-US" w:eastAsia="zh-CN"/>
        </w:rPr>
        <w:t>（应明确对被破坏的检测产品的处理方式）</w:t>
      </w:r>
    </w:p>
    <w:p w14:paraId="557F3031">
      <w:pPr>
        <w:widowControl w:val="0"/>
        <w:adjustRightInd w:val="0"/>
        <w:snapToGrid w:val="0"/>
        <w:spacing w:after="0" w:line="400" w:lineRule="exact"/>
        <w:ind w:firstLine="840" w:firstLineChars="400"/>
        <w:rPr>
          <w:rFonts w:ascii="宋体" w:hAnsi="宋体" w:eastAsia="宋体" w:cs="Times New Roman"/>
          <w:bCs/>
          <w:lang w:val="en-US" w:eastAsia="zh-CN"/>
        </w:rPr>
      </w:pPr>
      <w:r>
        <w:rPr>
          <w:rFonts w:ascii="宋体" w:hAnsi="宋体" w:eastAsia="宋体" w:cs="Times New Roman"/>
          <w:bCs/>
          <w:lang w:val="en-US" w:eastAsia="zh-CN"/>
        </w:rPr>
        <w:t xml:space="preserve">                    </w:t>
      </w:r>
      <w:r>
        <w:rPr>
          <w:rFonts w:ascii="宋体" w:hAnsi="宋体" w:eastAsia="宋体" w:cs="宋体"/>
          <w:lang w:val="en-US" w:eastAsia="zh-CN"/>
        </w:rPr>
        <w:sym w:font="Wingdings" w:char="00FE"/>
      </w:r>
      <w:r>
        <w:rPr>
          <w:rFonts w:ascii="宋体" w:hAnsi="宋体" w:eastAsia="宋体" w:cs="Times New Roman"/>
          <w:bCs/>
          <w:lang w:val="en-US" w:eastAsia="zh-CN"/>
        </w:rPr>
        <w:t>否</w:t>
      </w:r>
    </w:p>
    <w:p w14:paraId="351BAC95">
      <w:pPr>
        <w:widowControl w:val="0"/>
        <w:adjustRightInd w:val="0"/>
        <w:snapToGrid w:val="0"/>
        <w:spacing w:after="0" w:line="400" w:lineRule="exact"/>
        <w:ind w:firstLine="840" w:firstLineChars="400"/>
        <w:rPr>
          <w:rFonts w:ascii="宋体" w:hAnsi="宋体" w:eastAsia="宋体" w:cs="Times New Roman"/>
          <w:bCs/>
          <w:u w:val="single"/>
          <w:lang w:val="en-US" w:eastAsia="zh-CN"/>
        </w:rPr>
      </w:pPr>
      <w:r>
        <w:rPr>
          <w:rFonts w:ascii="宋体" w:hAnsi="宋体" w:eastAsia="宋体" w:cs="Times New Roman"/>
          <w:bCs/>
          <w:lang w:val="en-US" w:eastAsia="zh-CN"/>
        </w:rPr>
        <w:t>验收组织的其他事项：</w:t>
      </w:r>
      <w:r>
        <w:rPr>
          <w:rFonts w:ascii="宋体" w:hAnsi="宋体" w:eastAsia="宋体" w:cs="Times New Roman"/>
          <w:bCs/>
          <w:u w:val="single"/>
          <w:lang w:val="en-US" w:eastAsia="zh-CN"/>
        </w:rPr>
        <w:t xml:space="preserve">                </w:t>
      </w:r>
    </w:p>
    <w:p w14:paraId="340FE075">
      <w:pPr>
        <w:widowControl w:val="0"/>
        <w:adjustRightInd w:val="0"/>
        <w:snapToGrid w:val="0"/>
        <w:spacing w:after="0" w:line="400" w:lineRule="exact"/>
        <w:ind w:firstLine="420" w:firstLineChars="200"/>
        <w:rPr>
          <w:rFonts w:ascii="宋体" w:hAnsi="宋体" w:eastAsia="宋体" w:cs="Times New Roman"/>
          <w:bCs/>
          <w:u w:val="single"/>
          <w:lang w:val="en-US" w:eastAsia="zh-CN"/>
        </w:rPr>
      </w:pPr>
      <w:r>
        <w:rPr>
          <w:rFonts w:ascii="宋体" w:hAnsi="宋体" w:eastAsia="宋体" w:cs="Times New Roman"/>
          <w:bCs/>
          <w:lang w:val="en-US" w:eastAsia="zh-CN"/>
        </w:rPr>
        <w:t>（2）履约验收时间：</w:t>
      </w:r>
      <w:r>
        <w:rPr>
          <w:rFonts w:ascii="宋体" w:hAnsi="宋体" w:eastAsia="宋体" w:cs="Times New Roman"/>
          <w:bCs/>
          <w:u w:val="single"/>
          <w:lang w:val="en-US" w:eastAsia="zh-CN"/>
        </w:rPr>
        <w:t xml:space="preserve">  供应商提出验收申请之日起 7个工作日内组织验收  </w:t>
      </w:r>
    </w:p>
    <w:p w14:paraId="5A8B788D">
      <w:pPr>
        <w:widowControl w:val="0"/>
        <w:adjustRightInd w:val="0"/>
        <w:snapToGrid w:val="0"/>
        <w:spacing w:after="0" w:line="400" w:lineRule="exact"/>
        <w:ind w:firstLine="420" w:firstLineChars="200"/>
        <w:rPr>
          <w:rFonts w:ascii="宋体" w:hAnsi="宋体" w:eastAsia="宋体" w:cs="Times New Roman"/>
          <w:bCs/>
          <w:lang w:val="en-US" w:eastAsia="zh-CN"/>
        </w:rPr>
      </w:pPr>
      <w:r>
        <w:rPr>
          <w:rFonts w:ascii="宋体" w:hAnsi="宋体" w:eastAsia="宋体" w:cs="Times New Roman"/>
          <w:bCs/>
          <w:lang w:val="en-US" w:eastAsia="zh-CN"/>
        </w:rPr>
        <w:t>（3）履约验收方式：</w:t>
      </w:r>
      <w:r>
        <w:rPr>
          <w:rFonts w:ascii="宋体" w:hAnsi="宋体" w:eastAsia="宋体" w:cs="宋体"/>
          <w:lang w:val="en-US" w:eastAsia="zh-CN"/>
        </w:rPr>
        <w:sym w:font="Wingdings" w:char="00A8"/>
      </w:r>
      <w:r>
        <w:rPr>
          <w:rFonts w:ascii="宋体" w:hAnsi="宋体" w:eastAsia="宋体" w:cs="Times New Roman"/>
          <w:bCs/>
          <w:lang w:val="en-US" w:eastAsia="zh-CN"/>
        </w:rPr>
        <w:t xml:space="preserve">一次性验收         </w:t>
      </w:r>
    </w:p>
    <w:p w14:paraId="055A5D1F">
      <w:pPr>
        <w:widowControl w:val="0"/>
        <w:adjustRightInd w:val="0"/>
        <w:snapToGrid w:val="0"/>
        <w:spacing w:after="0" w:line="400" w:lineRule="exact"/>
        <w:rPr>
          <w:rFonts w:hint="default" w:ascii="宋体" w:hAnsi="宋体" w:eastAsia="宋体" w:cs="Times New Roman"/>
          <w:bCs/>
          <w:lang w:val="en-US" w:eastAsia="zh-CN"/>
        </w:rPr>
      </w:pPr>
      <w:r>
        <w:rPr>
          <w:rFonts w:ascii="宋体" w:hAnsi="宋体" w:eastAsia="宋体" w:cs="Times New Roman"/>
          <w:bCs/>
          <w:lang w:val="en-US" w:eastAsia="zh-CN"/>
        </w:rPr>
        <w:t xml:space="preserve">                       </w:t>
      </w:r>
      <w:r>
        <w:rPr>
          <w:rFonts w:ascii="宋体" w:hAnsi="宋体" w:eastAsia="宋体" w:cs="宋体"/>
          <w:lang w:val="en-US" w:eastAsia="zh-CN"/>
        </w:rPr>
        <w:sym w:font="Wingdings" w:char="00FE"/>
      </w:r>
      <w:r>
        <w:rPr>
          <w:rFonts w:ascii="宋体" w:hAnsi="宋体" w:eastAsia="宋体" w:cs="Times New Roman"/>
          <w:bCs/>
          <w:lang w:val="en-US" w:eastAsia="zh-CN"/>
        </w:rPr>
        <w:t>分期/分项验收：</w:t>
      </w:r>
      <w:r>
        <w:rPr>
          <w:rFonts w:ascii="宋体" w:hAnsi="宋体" w:eastAsia="宋体" w:cs="Times New Roman"/>
          <w:bCs/>
          <w:u w:val="single"/>
          <w:lang w:val="en-US" w:eastAsia="zh-CN"/>
        </w:rPr>
        <w:t xml:space="preserve"> 分</w:t>
      </w:r>
      <w:r>
        <w:rPr>
          <w:rFonts w:hint="eastAsia" w:ascii="宋体" w:hAnsi="宋体" w:eastAsia="宋体" w:cs="Times New Roman"/>
          <w:bCs/>
          <w:u w:val="single"/>
          <w:lang w:val="en-US" w:eastAsia="zh-CN"/>
        </w:rPr>
        <w:t>两</w:t>
      </w:r>
      <w:r>
        <w:rPr>
          <w:rFonts w:ascii="宋体" w:hAnsi="宋体" w:eastAsia="宋体" w:cs="Times New Roman"/>
          <w:bCs/>
          <w:u w:val="single"/>
          <w:lang w:val="en-US" w:eastAsia="zh-CN"/>
        </w:rPr>
        <w:t xml:space="preserve">阶段进行验收：到货验收、项目终验 </w:t>
      </w:r>
      <w:r>
        <w:rPr>
          <w:rFonts w:hint="eastAsia" w:ascii="宋体" w:hAnsi="宋体" w:eastAsia="宋体" w:cs="Times New Roman"/>
          <w:bCs/>
          <w:u w:val="single"/>
          <w:lang w:val="en-US" w:eastAsia="zh-CN"/>
        </w:rPr>
        <w:t>。</w:t>
      </w:r>
    </w:p>
    <w:p w14:paraId="7B92EA4D">
      <w:pPr>
        <w:widowControl w:val="0"/>
        <w:adjustRightInd w:val="0"/>
        <w:snapToGrid w:val="0"/>
        <w:spacing w:after="0" w:line="400" w:lineRule="exact"/>
        <w:ind w:firstLine="420" w:firstLineChars="200"/>
        <w:rPr>
          <w:rFonts w:ascii="宋体" w:hAnsi="宋体" w:eastAsia="宋体" w:cs="Times New Roman"/>
          <w:bCs/>
          <w:lang w:val="en-US" w:eastAsia="zh-CN"/>
        </w:rPr>
      </w:pPr>
      <w:r>
        <w:rPr>
          <w:rFonts w:ascii="宋体" w:hAnsi="宋体" w:eastAsia="宋体" w:cs="Times New Roman"/>
          <w:bCs/>
          <w:lang w:val="en-US" w:eastAsia="zh-CN"/>
        </w:rPr>
        <w:t>（4）履约验收程序：</w:t>
      </w:r>
      <w:r>
        <w:rPr>
          <w:rFonts w:ascii="宋体" w:hAnsi="宋体" w:eastAsia="宋体" w:cs="Times New Roman"/>
          <w:bCs/>
          <w:u w:val="single"/>
          <w:lang w:val="en-US" w:eastAsia="zh-CN"/>
        </w:rPr>
        <w:t xml:space="preserve">   </w:t>
      </w:r>
      <w:r>
        <w:rPr>
          <w:rFonts w:hint="eastAsia" w:ascii="宋体" w:hAnsi="宋体" w:eastAsia="宋体" w:cs="Times New Roman"/>
          <w:bCs/>
          <w:u w:val="single"/>
          <w:lang w:val="en-US" w:eastAsia="zh-CN"/>
        </w:rPr>
        <w:t>分两阶段进行验收，货物到场并开箱采购人验收，组织专家进行项目终验。</w:t>
      </w:r>
      <w:r>
        <w:rPr>
          <w:rFonts w:ascii="宋体" w:hAnsi="宋体" w:eastAsia="宋体" w:cs="Times New Roman"/>
          <w:bCs/>
          <w:u w:val="single"/>
          <w:lang w:val="en-US" w:eastAsia="zh-CN"/>
        </w:rPr>
        <w:t xml:space="preserve">           </w:t>
      </w:r>
    </w:p>
    <w:p w14:paraId="25EEA2C6">
      <w:pPr>
        <w:pStyle w:val="12"/>
        <w:ind w:left="278"/>
        <w:rPr>
          <w:lang w:val="en-US" w:eastAsia="zh-CN"/>
        </w:rPr>
      </w:pPr>
      <w:r>
        <w:rPr>
          <w:rFonts w:ascii="宋体" w:hAnsi="宋体" w:eastAsia="宋体" w:cs="Times New Roman"/>
          <w:bCs/>
          <w:lang w:val="en-US" w:eastAsia="zh-CN"/>
        </w:rPr>
        <w:t>（5）履约验收的内容：</w:t>
      </w:r>
      <w:r>
        <w:rPr>
          <w:rFonts w:ascii="宋体" w:hAnsi="宋体" w:eastAsia="宋体" w:cs="Times New Roman"/>
          <w:bCs/>
          <w:u w:val="single"/>
          <w:lang w:val="en-US" w:eastAsia="zh-CN"/>
        </w:rPr>
        <w:t xml:space="preserve"> </w:t>
      </w:r>
      <w:r>
        <w:rPr>
          <w:rFonts w:hint="eastAsia" w:ascii="宋体" w:hAnsi="宋体" w:eastAsia="宋体" w:cs="Times New Roman"/>
          <w:bCs/>
          <w:u w:val="single"/>
          <w:lang w:val="en-US" w:eastAsia="zh-CN"/>
        </w:rPr>
        <w:t>（应当包括每一项技术和商务要求的履约情况，特别是落实政府采购扶持中小企业，支持绿色发展等政策情况）。</w:t>
      </w:r>
      <w:r>
        <w:rPr>
          <w:rFonts w:ascii="宋体" w:hAnsi="宋体" w:eastAsia="宋体" w:cs="Times New Roman"/>
          <w:bCs/>
          <w:u w:val="single"/>
          <w:lang w:val="en-US" w:eastAsia="zh-CN"/>
        </w:rPr>
        <w:t xml:space="preserve"> </w:t>
      </w:r>
    </w:p>
    <w:p w14:paraId="6D1D309A">
      <w:pPr>
        <w:pStyle w:val="12"/>
        <w:ind w:left="278"/>
        <w:rPr>
          <w:lang w:val="en-US" w:eastAsia="zh-CN"/>
        </w:rPr>
      </w:pPr>
      <w:r>
        <w:rPr>
          <w:rFonts w:hint="default" w:ascii="宋体" w:hAnsi="宋体" w:eastAsia="宋体" w:cs="Times New Roman"/>
          <w:bCs/>
          <w:lang w:val="en-US" w:eastAsia="zh-CN"/>
        </w:rPr>
        <w:t>（6）履</w:t>
      </w:r>
      <w:r>
        <w:rPr>
          <w:rFonts w:hint="default"/>
          <w:lang w:val="en-US" w:eastAsia="zh-CN"/>
        </w:rPr>
        <w:t>约验收标准：</w:t>
      </w:r>
      <w:r>
        <w:rPr>
          <w:rFonts w:hint="default"/>
          <w:u w:val="single"/>
          <w:lang w:val="en-US" w:eastAsia="zh-CN"/>
        </w:rPr>
        <w:t xml:space="preserve">  符合国家相关行业合格标准且满足采购人需求</w:t>
      </w:r>
      <w:r>
        <w:rPr>
          <w:rFonts w:hint="eastAsia"/>
          <w:u w:val="single"/>
          <w:lang w:val="en-US" w:eastAsia="zh-CN"/>
        </w:rPr>
        <w:t>。</w:t>
      </w:r>
      <w:r>
        <w:rPr>
          <w:rFonts w:hint="default"/>
          <w:u w:val="single"/>
          <w:lang w:val="en-US" w:eastAsia="zh-CN"/>
        </w:rPr>
        <w:t xml:space="preserve">          </w:t>
      </w:r>
      <w:r>
        <w:rPr>
          <w:rFonts w:hint="default"/>
          <w:lang w:val="en-US" w:eastAsia="zh-CN"/>
        </w:rPr>
        <w:t xml:space="preserve">   </w:t>
      </w:r>
    </w:p>
    <w:p w14:paraId="5FE6826F">
      <w:pPr>
        <w:widowControl w:val="0"/>
        <w:autoSpaceDE w:val="0"/>
        <w:autoSpaceDN w:val="0"/>
        <w:adjustRightInd w:val="0"/>
        <w:spacing w:after="0" w:line="400" w:lineRule="exact"/>
        <w:ind w:firstLine="420" w:firstLineChars="200"/>
        <w:rPr>
          <w:rFonts w:ascii="宋体" w:hAnsi="宋体" w:eastAsia="宋体" w:cs="宋体"/>
          <w:bCs/>
          <w:lang w:val="en-US" w:eastAsia="zh-CN"/>
        </w:rPr>
      </w:pPr>
      <w:r>
        <w:rPr>
          <w:rFonts w:ascii="宋体" w:hAnsi="宋体" w:eastAsia="宋体" w:cs="宋体"/>
          <w:bCs/>
          <w:lang w:val="en-US" w:eastAsia="zh-CN"/>
        </w:rPr>
        <w:t>（7）是否以采购活动中供应商提供的样品作为参考：</w:t>
      </w:r>
      <w:r>
        <w:rPr>
          <w:rFonts w:ascii="宋体" w:hAnsi="宋体" w:eastAsia="宋体" w:cs="宋体"/>
          <w:lang w:val="en-US" w:eastAsia="zh-CN"/>
        </w:rPr>
        <w:sym w:font="Wingdings" w:char="00A8"/>
      </w:r>
      <w:r>
        <w:rPr>
          <w:rFonts w:ascii="宋体" w:hAnsi="宋体" w:eastAsia="宋体" w:cs="宋体"/>
          <w:bCs/>
          <w:lang w:val="en-US" w:eastAsia="zh-CN"/>
        </w:rPr>
        <w:t xml:space="preserve">是  </w:t>
      </w:r>
      <w:r>
        <w:rPr>
          <w:rFonts w:ascii="宋体" w:hAnsi="宋体" w:eastAsia="宋体" w:cs="宋体"/>
          <w:lang w:val="en-US" w:eastAsia="zh-CN"/>
        </w:rPr>
        <w:sym w:font="Wingdings" w:char="00FE"/>
      </w:r>
      <w:r>
        <w:rPr>
          <w:rFonts w:ascii="宋体" w:hAnsi="宋体" w:eastAsia="宋体" w:cs="宋体"/>
          <w:bCs/>
          <w:lang w:val="en-US" w:eastAsia="zh-CN"/>
        </w:rPr>
        <w:t>否</w:t>
      </w:r>
    </w:p>
    <w:p w14:paraId="03AACF19">
      <w:pPr>
        <w:widowControl w:val="0"/>
        <w:adjustRightInd w:val="0"/>
        <w:snapToGrid w:val="0"/>
        <w:spacing w:after="0" w:line="400" w:lineRule="exact"/>
        <w:ind w:firstLine="420" w:firstLineChars="200"/>
        <w:rPr>
          <w:rFonts w:ascii="宋体" w:hAnsi="宋体" w:eastAsia="宋体" w:cs="Times New Roman"/>
          <w:b/>
          <w:lang w:val="en-US" w:eastAsia="zh-CN"/>
        </w:rPr>
      </w:pPr>
      <w:r>
        <w:rPr>
          <w:rFonts w:ascii="宋体" w:hAnsi="宋体" w:eastAsia="宋体" w:cs="宋体"/>
          <w:bCs/>
          <w:lang w:val="en-US" w:eastAsia="zh-CN"/>
        </w:rPr>
        <w:t>（</w:t>
      </w:r>
      <w:r>
        <w:rPr>
          <w:rFonts w:hint="default" w:ascii="宋体" w:hAnsi="宋体" w:eastAsia="宋体" w:cs="宋体"/>
          <w:bCs/>
          <w:lang w:val="en-US" w:eastAsia="zh-CN"/>
        </w:rPr>
        <w:t>8）履约验收其他事项：</w:t>
      </w:r>
      <w:r>
        <w:rPr>
          <w:rFonts w:hint="default" w:ascii="宋体" w:hAnsi="宋体" w:eastAsia="宋体" w:cs="宋体"/>
          <w:bCs/>
          <w:u w:val="single"/>
          <w:lang w:val="en-US" w:eastAsia="zh-CN"/>
        </w:rPr>
        <w:t xml:space="preserve">   </w:t>
      </w:r>
      <w:r>
        <w:rPr>
          <w:rFonts w:hint="eastAsia" w:ascii="宋体" w:hAnsi="宋体" w:eastAsia="宋体" w:cs="宋体"/>
          <w:bCs/>
          <w:u w:val="single"/>
          <w:lang w:val="en-US" w:eastAsia="zh-CN"/>
        </w:rPr>
        <w:t>无</w:t>
      </w:r>
      <w:r>
        <w:rPr>
          <w:rFonts w:hint="default" w:ascii="宋体" w:hAnsi="宋体" w:eastAsia="宋体" w:cs="宋体"/>
          <w:bCs/>
          <w:u w:val="single"/>
          <w:lang w:val="en-US" w:eastAsia="zh-CN"/>
        </w:rPr>
        <w:t xml:space="preserve">    </w:t>
      </w:r>
    </w:p>
    <w:p w14:paraId="0F1D3E88">
      <w:pPr>
        <w:widowControl w:val="0"/>
        <w:numPr>
          <w:ilvl w:val="0"/>
          <w:numId w:val="6"/>
        </w:numPr>
        <w:adjustRightInd w:val="0"/>
        <w:snapToGrid w:val="0"/>
        <w:spacing w:after="0" w:line="400" w:lineRule="exact"/>
        <w:ind w:firstLine="422" w:firstLineChars="200"/>
        <w:rPr>
          <w:rFonts w:ascii="宋体" w:hAnsi="宋体" w:eastAsia="宋体" w:cs="Times New Roman"/>
          <w:b/>
          <w:lang w:val="en-US" w:eastAsia="zh-CN"/>
        </w:rPr>
      </w:pPr>
      <w:r>
        <w:rPr>
          <w:rFonts w:ascii="宋体" w:hAnsi="宋体" w:eastAsia="宋体" w:cs="Times New Roman"/>
          <w:b/>
          <w:lang w:val="en-US" w:eastAsia="zh-CN"/>
        </w:rPr>
        <w:t>组成合同的文件</w:t>
      </w:r>
    </w:p>
    <w:p w14:paraId="01430E22">
      <w:pPr>
        <w:widowControl w:val="0"/>
        <w:adjustRightInd w:val="0"/>
        <w:snapToGrid w:val="0"/>
        <w:spacing w:after="0" w:line="400" w:lineRule="exact"/>
        <w:ind w:firstLine="420" w:firstLineChars="200"/>
        <w:rPr>
          <w:rFonts w:ascii="宋体" w:hAnsi="宋体" w:eastAsia="宋体" w:cs="Times New Roman"/>
          <w:lang w:val="en-US" w:eastAsia="zh-CN"/>
        </w:rPr>
      </w:pPr>
      <w:r>
        <w:rPr>
          <w:rFonts w:ascii="宋体" w:hAnsi="宋体" w:eastAsia="宋体" w:cs="Times New Roman"/>
          <w:lang w:val="en-US" w:eastAsia="zh-CN"/>
        </w:rPr>
        <w:t>本协议书与下列文件一起构成合同文件，如下述文件之间有任何抵触、矛盾或歧义，应按以下顺序解释：</w:t>
      </w:r>
    </w:p>
    <w:p w14:paraId="6C368A5B">
      <w:pPr>
        <w:widowControl w:val="0"/>
        <w:adjustRightInd w:val="0"/>
        <w:snapToGrid w:val="0"/>
        <w:spacing w:after="0" w:line="400" w:lineRule="exact"/>
        <w:ind w:firstLine="420" w:firstLineChars="200"/>
        <w:rPr>
          <w:rFonts w:ascii="宋体" w:hAnsi="宋体" w:eastAsia="宋体" w:cs="Times New Roman"/>
          <w:lang w:val="en-US" w:eastAsia="zh-CN"/>
        </w:rPr>
      </w:pPr>
      <w:r>
        <w:rPr>
          <w:rFonts w:ascii="宋体" w:hAnsi="宋体" w:eastAsia="宋体" w:cs="Times New Roman"/>
          <w:lang w:val="en-US" w:eastAsia="zh-CN"/>
        </w:rPr>
        <w:t>（1）政府采购合同协议书及其变更、补充协议</w:t>
      </w:r>
    </w:p>
    <w:p w14:paraId="588F921F">
      <w:pPr>
        <w:widowControl w:val="0"/>
        <w:adjustRightInd w:val="0"/>
        <w:snapToGrid w:val="0"/>
        <w:spacing w:after="0" w:line="400" w:lineRule="exact"/>
        <w:ind w:firstLine="420" w:firstLineChars="200"/>
        <w:rPr>
          <w:rFonts w:ascii="宋体" w:hAnsi="宋体" w:eastAsia="宋体" w:cs="Times New Roman"/>
          <w:lang w:val="en-US" w:eastAsia="zh-CN"/>
        </w:rPr>
      </w:pPr>
      <w:r>
        <w:rPr>
          <w:rFonts w:ascii="宋体" w:hAnsi="宋体" w:eastAsia="宋体" w:cs="Times New Roman"/>
          <w:lang w:val="en-US" w:eastAsia="zh-CN"/>
        </w:rPr>
        <w:t>（2）政府采购合同专用条款</w:t>
      </w:r>
    </w:p>
    <w:p w14:paraId="60FBE851">
      <w:pPr>
        <w:widowControl w:val="0"/>
        <w:adjustRightInd w:val="0"/>
        <w:snapToGrid w:val="0"/>
        <w:spacing w:after="0" w:line="400" w:lineRule="exact"/>
        <w:ind w:firstLine="420" w:firstLineChars="200"/>
        <w:rPr>
          <w:rFonts w:ascii="宋体" w:hAnsi="宋体" w:eastAsia="宋体" w:cs="Times New Roman"/>
          <w:lang w:val="en-US" w:eastAsia="zh-CN"/>
        </w:rPr>
      </w:pPr>
      <w:r>
        <w:rPr>
          <w:rFonts w:ascii="宋体" w:hAnsi="宋体" w:eastAsia="宋体" w:cs="Times New Roman"/>
          <w:lang w:val="en-US" w:eastAsia="zh-CN"/>
        </w:rPr>
        <w:t>（3）政府采购合同通用条款</w:t>
      </w:r>
    </w:p>
    <w:p w14:paraId="6F41D852">
      <w:pPr>
        <w:widowControl w:val="0"/>
        <w:adjustRightInd w:val="0"/>
        <w:snapToGrid w:val="0"/>
        <w:spacing w:after="0" w:line="400" w:lineRule="exact"/>
        <w:ind w:firstLine="420" w:firstLineChars="200"/>
        <w:rPr>
          <w:rFonts w:ascii="宋体" w:hAnsi="宋体" w:eastAsia="宋体" w:cs="Times New Roman"/>
          <w:lang w:val="en-US" w:eastAsia="zh-CN"/>
        </w:rPr>
      </w:pPr>
      <w:r>
        <w:rPr>
          <w:rFonts w:ascii="宋体" w:hAnsi="宋体" w:eastAsia="宋体" w:cs="Times New Roman"/>
          <w:lang w:val="en-US" w:eastAsia="zh-CN"/>
        </w:rPr>
        <w:t>（4）中标（成交）通知书</w:t>
      </w:r>
    </w:p>
    <w:p w14:paraId="041892FC">
      <w:pPr>
        <w:widowControl w:val="0"/>
        <w:adjustRightInd w:val="0"/>
        <w:snapToGrid w:val="0"/>
        <w:spacing w:after="0" w:line="400" w:lineRule="exact"/>
        <w:ind w:firstLine="420" w:firstLineChars="200"/>
        <w:rPr>
          <w:rFonts w:ascii="宋体" w:hAnsi="宋体" w:eastAsia="宋体" w:cs="Times New Roman"/>
          <w:lang w:val="en-US" w:eastAsia="zh-CN"/>
        </w:rPr>
      </w:pPr>
      <w:r>
        <w:rPr>
          <w:rFonts w:ascii="宋体" w:hAnsi="宋体" w:eastAsia="宋体" w:cs="Times New Roman"/>
          <w:lang w:val="en-US" w:eastAsia="zh-CN"/>
        </w:rPr>
        <w:t>（5）投标（响应）文件</w:t>
      </w:r>
    </w:p>
    <w:p w14:paraId="0EC11A67">
      <w:pPr>
        <w:widowControl w:val="0"/>
        <w:adjustRightInd w:val="0"/>
        <w:snapToGrid w:val="0"/>
        <w:spacing w:after="0" w:line="400" w:lineRule="exact"/>
        <w:ind w:firstLine="420" w:firstLineChars="200"/>
        <w:rPr>
          <w:rFonts w:ascii="宋体" w:hAnsi="宋体" w:eastAsia="宋体" w:cs="Times New Roman"/>
          <w:lang w:val="en-US" w:eastAsia="zh-CN"/>
        </w:rPr>
      </w:pPr>
      <w:r>
        <w:rPr>
          <w:rFonts w:ascii="宋体" w:hAnsi="宋体" w:eastAsia="宋体" w:cs="Times New Roman"/>
          <w:lang w:val="en-US" w:eastAsia="zh-CN"/>
        </w:rPr>
        <w:t>（6）采购文件</w:t>
      </w:r>
    </w:p>
    <w:p w14:paraId="5EC8B481">
      <w:pPr>
        <w:widowControl w:val="0"/>
        <w:adjustRightInd w:val="0"/>
        <w:snapToGrid w:val="0"/>
        <w:spacing w:after="0" w:line="400" w:lineRule="exact"/>
        <w:ind w:firstLine="420" w:firstLineChars="200"/>
        <w:rPr>
          <w:rFonts w:ascii="宋体" w:hAnsi="宋体" w:eastAsia="宋体" w:cs="Times New Roman"/>
          <w:lang w:val="en-US" w:eastAsia="zh-CN"/>
        </w:rPr>
      </w:pPr>
      <w:r>
        <w:rPr>
          <w:rFonts w:ascii="宋体" w:hAnsi="宋体" w:eastAsia="宋体" w:cs="Times New Roman"/>
          <w:lang w:val="en-US" w:eastAsia="zh-CN"/>
        </w:rPr>
        <w:t>（7）有关技术文件，图纸</w:t>
      </w:r>
    </w:p>
    <w:p w14:paraId="7323D242">
      <w:pPr>
        <w:widowControl w:val="0"/>
        <w:autoSpaceDE w:val="0"/>
        <w:autoSpaceDN w:val="0"/>
        <w:adjustRightInd w:val="0"/>
        <w:spacing w:after="0" w:line="400" w:lineRule="exact"/>
        <w:ind w:firstLine="420" w:firstLineChars="200"/>
        <w:rPr>
          <w:rFonts w:ascii="宋体" w:hAnsi="宋体" w:eastAsia="宋体" w:cs="宋体"/>
          <w:lang w:val="en-US" w:eastAsia="zh-CN"/>
        </w:rPr>
      </w:pPr>
      <w:r>
        <w:rPr>
          <w:rFonts w:ascii="宋体" w:hAnsi="宋体" w:eastAsia="宋体" w:cs="宋体"/>
          <w:lang w:val="en-US" w:eastAsia="zh-CN"/>
        </w:rPr>
        <w:t>（8）国家法律、行政法规和规章制度规定或合同约定的作为合同组成部分的其他文件</w:t>
      </w:r>
    </w:p>
    <w:p w14:paraId="496AE37C">
      <w:pPr>
        <w:widowControl w:val="0"/>
        <w:numPr>
          <w:ilvl w:val="0"/>
          <w:numId w:val="6"/>
        </w:numPr>
        <w:adjustRightInd w:val="0"/>
        <w:snapToGrid w:val="0"/>
        <w:spacing w:after="0" w:line="400" w:lineRule="exact"/>
        <w:ind w:firstLine="422" w:firstLineChars="200"/>
        <w:rPr>
          <w:rFonts w:ascii="宋体" w:hAnsi="宋体" w:eastAsia="宋体" w:cs="Times New Roman"/>
          <w:b/>
          <w:lang w:val="en-US" w:eastAsia="zh-CN"/>
        </w:rPr>
      </w:pPr>
      <w:r>
        <w:rPr>
          <w:rFonts w:ascii="宋体" w:hAnsi="宋体" w:eastAsia="宋体" w:cs="Times New Roman"/>
          <w:b/>
          <w:lang w:val="en-US" w:eastAsia="zh-CN"/>
        </w:rPr>
        <w:t>合同生效</w:t>
      </w:r>
    </w:p>
    <w:p w14:paraId="6BF6F38F">
      <w:pPr>
        <w:widowControl w:val="0"/>
        <w:adjustRightInd w:val="0"/>
        <w:snapToGrid w:val="0"/>
        <w:spacing w:after="0" w:line="400" w:lineRule="exact"/>
        <w:ind w:firstLine="420" w:firstLineChars="200"/>
        <w:rPr>
          <w:rFonts w:ascii="宋体" w:hAnsi="宋体" w:eastAsia="宋体" w:cs="Times New Roman"/>
          <w:lang w:val="en-US" w:eastAsia="zh-CN"/>
        </w:rPr>
      </w:pPr>
      <w:r>
        <w:rPr>
          <w:rFonts w:ascii="宋体" w:hAnsi="宋体" w:eastAsia="宋体" w:cs="Times New Roman"/>
          <w:lang w:val="en-US" w:eastAsia="zh-CN"/>
        </w:rPr>
        <w:t>本合同自</w:t>
      </w:r>
      <w:r>
        <w:rPr>
          <w:rFonts w:ascii="宋体" w:hAnsi="宋体" w:eastAsia="宋体" w:cs="Times New Roman"/>
          <w:u w:val="single"/>
          <w:lang w:val="en-US" w:eastAsia="zh-CN"/>
        </w:rPr>
        <w:t xml:space="preserve">                             </w:t>
      </w:r>
      <w:r>
        <w:rPr>
          <w:rFonts w:ascii="宋体" w:hAnsi="宋体" w:eastAsia="宋体" w:cs="Times New Roman"/>
          <w:lang w:val="en-US" w:eastAsia="zh-CN"/>
        </w:rPr>
        <w:t>生效。</w:t>
      </w:r>
    </w:p>
    <w:p w14:paraId="5177342C">
      <w:pPr>
        <w:widowControl w:val="0"/>
        <w:numPr>
          <w:ilvl w:val="0"/>
          <w:numId w:val="6"/>
        </w:numPr>
        <w:adjustRightInd w:val="0"/>
        <w:snapToGrid w:val="0"/>
        <w:spacing w:after="0" w:line="400" w:lineRule="exact"/>
        <w:ind w:firstLine="422" w:firstLineChars="200"/>
        <w:rPr>
          <w:rFonts w:ascii="宋体" w:hAnsi="宋体" w:eastAsia="宋体" w:cs="Times New Roman"/>
          <w:b/>
          <w:lang w:val="en-US" w:eastAsia="zh-CN"/>
        </w:rPr>
      </w:pPr>
      <w:r>
        <w:rPr>
          <w:rFonts w:ascii="宋体" w:hAnsi="宋体" w:eastAsia="宋体" w:cs="Times New Roman"/>
          <w:b/>
          <w:lang w:val="en-US" w:eastAsia="zh-CN"/>
        </w:rPr>
        <w:t>合同份数</w:t>
      </w:r>
    </w:p>
    <w:p w14:paraId="0B629D3C">
      <w:pPr>
        <w:widowControl w:val="0"/>
        <w:adjustRightInd w:val="0"/>
        <w:snapToGrid w:val="0"/>
        <w:spacing w:after="0" w:line="400" w:lineRule="exact"/>
        <w:ind w:firstLine="420" w:firstLineChars="200"/>
        <w:rPr>
          <w:rFonts w:ascii="宋体" w:hAnsi="宋体" w:eastAsia="宋体" w:cs="Times New Roman"/>
          <w:lang w:val="en-US" w:eastAsia="zh-CN"/>
        </w:rPr>
      </w:pPr>
      <w:r>
        <w:rPr>
          <w:rFonts w:ascii="宋体" w:hAnsi="宋体" w:eastAsia="宋体" w:cs="Times New Roman"/>
          <w:lang w:val="en-US" w:eastAsia="zh-CN"/>
        </w:rPr>
        <w:t>本合同一式</w:t>
      </w:r>
      <w:r>
        <w:rPr>
          <w:rFonts w:ascii="宋体" w:hAnsi="宋体" w:eastAsia="宋体" w:cs="Times New Roman"/>
          <w:u w:val="single"/>
          <w:lang w:val="en-US" w:eastAsia="zh-CN"/>
        </w:rPr>
        <w:t xml:space="preserve">    </w:t>
      </w:r>
      <w:r>
        <w:rPr>
          <w:rFonts w:ascii="宋体" w:hAnsi="宋体" w:eastAsia="宋体" w:cs="Times New Roman"/>
          <w:lang w:val="en-US" w:eastAsia="zh-CN"/>
        </w:rPr>
        <w:t>份，甲方执</w:t>
      </w:r>
      <w:r>
        <w:rPr>
          <w:rFonts w:ascii="宋体" w:hAnsi="宋体" w:eastAsia="宋体" w:cs="Times New Roman"/>
          <w:u w:val="single"/>
          <w:lang w:val="en-US" w:eastAsia="zh-CN"/>
        </w:rPr>
        <w:t xml:space="preserve">    </w:t>
      </w:r>
      <w:r>
        <w:rPr>
          <w:rFonts w:ascii="宋体" w:hAnsi="宋体" w:eastAsia="宋体" w:cs="Times New Roman"/>
          <w:lang w:val="en-US" w:eastAsia="zh-CN"/>
        </w:rPr>
        <w:t>份，乙方执</w:t>
      </w:r>
      <w:r>
        <w:rPr>
          <w:rFonts w:ascii="宋体" w:hAnsi="宋体" w:eastAsia="宋体" w:cs="Times New Roman"/>
          <w:u w:val="single"/>
          <w:lang w:val="en-US" w:eastAsia="zh-CN"/>
        </w:rPr>
        <w:t xml:space="preserve">    </w:t>
      </w:r>
      <w:r>
        <w:rPr>
          <w:rFonts w:ascii="宋体" w:hAnsi="宋体" w:eastAsia="宋体" w:cs="Times New Roman"/>
          <w:lang w:val="en-US" w:eastAsia="zh-CN"/>
        </w:rPr>
        <w:t>份，均具有同等法律效力。</w:t>
      </w:r>
    </w:p>
    <w:p w14:paraId="4C8AD96D">
      <w:pPr>
        <w:widowControl w:val="0"/>
        <w:adjustRightInd w:val="0"/>
        <w:snapToGrid w:val="0"/>
        <w:spacing w:after="0" w:line="400" w:lineRule="exact"/>
        <w:ind w:firstLine="420" w:firstLineChars="200"/>
        <w:rPr>
          <w:rFonts w:ascii="宋体" w:hAnsi="宋体" w:eastAsia="宋体" w:cs="Times New Roman"/>
          <w:lang w:val="en-US" w:eastAsia="zh-CN"/>
        </w:rPr>
      </w:pPr>
      <w:r>
        <w:rPr>
          <w:rFonts w:ascii="宋体" w:hAnsi="宋体" w:eastAsia="宋体" w:cs="Times New Roman"/>
          <w:lang w:val="en-US" w:eastAsia="zh-CN"/>
        </w:rPr>
        <w:t>合同订立时间：</w:t>
      </w:r>
      <w:r>
        <w:rPr>
          <w:rFonts w:ascii="宋体" w:hAnsi="宋体" w:eastAsia="宋体" w:cs="Times New Roman"/>
          <w:u w:val="single"/>
          <w:lang w:val="en-US" w:eastAsia="zh-CN"/>
        </w:rPr>
        <w:t xml:space="preserve">         </w:t>
      </w:r>
      <w:r>
        <w:rPr>
          <w:rFonts w:ascii="宋体" w:hAnsi="宋体" w:eastAsia="宋体" w:cs="Times New Roman"/>
          <w:lang w:val="en-US" w:eastAsia="zh-CN"/>
        </w:rPr>
        <w:t>年</w:t>
      </w:r>
      <w:r>
        <w:rPr>
          <w:rFonts w:ascii="宋体" w:hAnsi="宋体" w:eastAsia="宋体" w:cs="Times New Roman"/>
          <w:u w:val="single"/>
          <w:lang w:val="en-US" w:eastAsia="zh-CN"/>
        </w:rPr>
        <w:t xml:space="preserve">      </w:t>
      </w:r>
      <w:r>
        <w:rPr>
          <w:rFonts w:ascii="宋体" w:hAnsi="宋体" w:eastAsia="宋体" w:cs="Times New Roman"/>
          <w:lang w:val="en-US" w:eastAsia="zh-CN"/>
        </w:rPr>
        <w:t>月</w:t>
      </w:r>
      <w:r>
        <w:rPr>
          <w:rFonts w:ascii="宋体" w:hAnsi="宋体" w:eastAsia="宋体" w:cs="Times New Roman"/>
          <w:u w:val="single"/>
          <w:lang w:val="en-US" w:eastAsia="zh-CN"/>
        </w:rPr>
        <w:t xml:space="preserve">      </w:t>
      </w:r>
      <w:r>
        <w:rPr>
          <w:rFonts w:ascii="宋体" w:hAnsi="宋体" w:eastAsia="宋体" w:cs="Times New Roman"/>
          <w:lang w:val="en-US" w:eastAsia="zh-CN"/>
        </w:rPr>
        <w:t>日</w:t>
      </w:r>
    </w:p>
    <w:p w14:paraId="788B4D86">
      <w:pPr>
        <w:widowControl w:val="0"/>
        <w:adjustRightInd w:val="0"/>
        <w:snapToGrid w:val="0"/>
        <w:spacing w:after="0" w:line="400" w:lineRule="exact"/>
        <w:ind w:firstLine="420" w:firstLineChars="200"/>
        <w:rPr>
          <w:rFonts w:ascii="宋体" w:hAnsi="宋体" w:eastAsia="宋体" w:cs="Times New Roman"/>
          <w:lang w:val="en-US" w:eastAsia="zh-CN"/>
        </w:rPr>
      </w:pPr>
      <w:r>
        <w:rPr>
          <w:rFonts w:ascii="宋体" w:hAnsi="宋体" w:eastAsia="宋体" w:cs="Times New Roman"/>
          <w:lang w:val="en-US" w:eastAsia="zh-CN"/>
        </w:rPr>
        <w:t>合同订立地点：</w:t>
      </w:r>
      <w:r>
        <w:rPr>
          <w:rFonts w:ascii="宋体" w:hAnsi="宋体" w:eastAsia="宋体" w:cs="Times New Roman"/>
          <w:u w:val="single"/>
          <w:lang w:val="en-US" w:eastAsia="zh-CN"/>
        </w:rPr>
        <w:t xml:space="preserve">                           </w:t>
      </w:r>
    </w:p>
    <w:p w14:paraId="5A0151BC">
      <w:pPr>
        <w:widowControl w:val="0"/>
        <w:adjustRightInd w:val="0"/>
        <w:snapToGrid w:val="0"/>
        <w:spacing w:after="0" w:line="400" w:lineRule="exact"/>
        <w:ind w:firstLine="420" w:firstLineChars="200"/>
        <w:rPr>
          <w:rFonts w:ascii="宋体" w:hAnsi="宋体" w:eastAsia="宋体" w:cs="Times New Roman"/>
          <w:lang w:val="en-US" w:eastAsia="zh-CN"/>
        </w:rPr>
      </w:pPr>
    </w:p>
    <w:p w14:paraId="04693102">
      <w:pPr>
        <w:widowControl w:val="0"/>
        <w:adjustRightInd w:val="0"/>
        <w:snapToGrid w:val="0"/>
        <w:spacing w:after="0" w:line="400" w:lineRule="exact"/>
        <w:ind w:firstLine="420" w:firstLineChars="200"/>
        <w:rPr>
          <w:rFonts w:hint="default" w:ascii="Times New Roman" w:hAnsi="Times New Roman" w:eastAsia="宋体" w:cs="Times New Roman"/>
          <w:szCs w:val="24"/>
          <w:lang w:val="en-US" w:eastAsia="zh-CN"/>
        </w:rPr>
      </w:pPr>
      <w:r>
        <w:rPr>
          <w:rFonts w:ascii="宋体" w:hAnsi="宋体" w:eastAsia="宋体" w:cs="Times New Roman"/>
          <w:lang w:val="en-US" w:eastAsia="zh-CN"/>
        </w:rPr>
        <w:t>附件：具体标的及其技术要求和商务要求、联合协议、分包意向协议等。</w:t>
      </w:r>
    </w:p>
    <w:p w14:paraId="22FD773F">
      <w:pPr>
        <w:keepNext/>
        <w:keepLines/>
        <w:widowControl w:val="0"/>
        <w:spacing w:after="0" w:line="400" w:lineRule="exact"/>
        <w:rPr>
          <w:rFonts w:ascii="宋体" w:hAnsi="宋体" w:eastAsia="宋体" w:cs="Times New Roman"/>
          <w:lang w:val="en-US" w:eastAsia="zh-CN"/>
        </w:rPr>
      </w:pPr>
    </w:p>
    <w:p w14:paraId="1275BF79">
      <w:pPr>
        <w:widowControl w:val="0"/>
        <w:spacing w:after="0" w:line="240" w:lineRule="auto"/>
        <w:rPr>
          <w:rFonts w:hint="default" w:ascii="Times New Roman" w:hAnsi="Times New Roman" w:eastAsia="宋体" w:cs="Times New Roman"/>
          <w:szCs w:val="24"/>
          <w:lang w:val="en-US" w:eastAsia="zh-CN"/>
        </w:rPr>
      </w:pPr>
      <w:r>
        <w:rPr>
          <w:rFonts w:ascii="Times New Roman" w:hAnsi="Times New Roman" w:eastAsia="宋体" w:cs="Times New Roman"/>
          <w:szCs w:val="24"/>
          <w:lang w:val="en-US" w:eastAsia="zh-CN"/>
        </w:rPr>
        <w:br w:type="page"/>
      </w:r>
    </w:p>
    <w:p w14:paraId="293B127A">
      <w:pPr>
        <w:widowControl w:val="0"/>
        <w:spacing w:after="0" w:line="240" w:lineRule="auto"/>
        <w:ind w:firstLine="420" w:firstLineChars="200"/>
        <w:rPr>
          <w:rFonts w:hint="default" w:ascii="Times New Roman" w:hAnsi="Times New Roman" w:eastAsia="宋体" w:cs="Times New Roman"/>
          <w:lang w:val="en-US" w:eastAsia="zh-CN"/>
        </w:rPr>
      </w:pPr>
    </w:p>
    <w:tbl>
      <w:tblPr>
        <w:tblStyle w:val="51"/>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209"/>
        <w:gridCol w:w="2818"/>
        <w:gridCol w:w="2311"/>
        <w:gridCol w:w="2473"/>
      </w:tblGrid>
      <w:tr w14:paraId="0A6545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67F25DAD">
            <w:pPr>
              <w:widowControl w:val="0"/>
              <w:adjustRightInd w:val="0"/>
              <w:snapToGrid w:val="0"/>
              <w:spacing w:after="0" w:line="300" w:lineRule="exact"/>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甲方</w:t>
            </w:r>
            <w:r>
              <w:rPr>
                <w:rFonts w:ascii="Times New Roman" w:hAnsi="Times New Roman" w:eastAsia="宋体" w:cs="Times New Roman"/>
                <w:lang w:val="en-US" w:eastAsia="zh-CN"/>
              </w:rPr>
              <w:t>（采购人</w:t>
            </w:r>
            <w:r>
              <w:rPr>
                <w:rFonts w:ascii="宋体" w:hAnsi="宋体" w:eastAsia="宋体" w:cs="Times New Roman"/>
                <w:lang w:val="en-US" w:eastAsia="zh-CN"/>
              </w:rPr>
              <w:t>、受采购人委托签订合同的单位或</w:t>
            </w:r>
            <w:r>
              <w:rPr>
                <w:rFonts w:ascii="Times New Roman" w:hAnsi="Times New Roman" w:eastAsia="宋体" w:cs="Times New Roman"/>
                <w:lang w:val="en-US" w:eastAsia="zh-CN"/>
              </w:rPr>
              <w:t>采购文件约定的合同甲方）</w:t>
            </w:r>
          </w:p>
        </w:tc>
        <w:tc>
          <w:tcPr>
            <w:tcW w:w="2437" w:type="pct"/>
            <w:gridSpan w:val="2"/>
            <w:tcBorders>
              <w:left w:val="single" w:color="auto" w:sz="2" w:space="0"/>
              <w:bottom w:val="single" w:color="auto" w:sz="2" w:space="0"/>
            </w:tcBorders>
            <w:vAlign w:val="center"/>
          </w:tcPr>
          <w:p w14:paraId="1B88F037">
            <w:pPr>
              <w:widowControl w:val="0"/>
              <w:adjustRightInd w:val="0"/>
              <w:snapToGrid w:val="0"/>
              <w:spacing w:after="0" w:line="300" w:lineRule="exact"/>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乙方</w:t>
            </w:r>
            <w:r>
              <w:rPr>
                <w:rFonts w:ascii="Times New Roman" w:hAnsi="Times New Roman" w:eastAsia="宋体" w:cs="Times New Roman"/>
                <w:lang w:val="en-US" w:eastAsia="zh-CN"/>
              </w:rPr>
              <w:t>（供应商）</w:t>
            </w:r>
          </w:p>
        </w:tc>
      </w:tr>
      <w:tr w14:paraId="5BD07CB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25244C1B">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单位名称</w:t>
            </w:r>
            <w:r>
              <w:rPr>
                <w:rFonts w:ascii="Times New Roman" w:hAnsi="Times New Roman" w:eastAsia="宋体" w:cs="Times New Roman"/>
                <w:lang w:val="en-US" w:eastAsia="zh-CN"/>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4DE43ACE">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40062B9C">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单位名称</w:t>
            </w:r>
            <w:r>
              <w:rPr>
                <w:rFonts w:ascii="Times New Roman" w:hAnsi="Times New Roman" w:eastAsia="宋体" w:cs="Times New Roman"/>
                <w:lang w:val="en-US" w:eastAsia="zh-CN"/>
              </w:rPr>
              <w:t>（公章或合同章）</w:t>
            </w:r>
          </w:p>
        </w:tc>
        <w:tc>
          <w:tcPr>
            <w:tcW w:w="1259" w:type="pct"/>
            <w:tcBorders>
              <w:top w:val="single" w:color="auto" w:sz="2" w:space="0"/>
              <w:left w:val="single" w:color="auto" w:sz="2" w:space="0"/>
              <w:bottom w:val="single" w:color="auto" w:sz="2" w:space="0"/>
            </w:tcBorders>
            <w:vAlign w:val="center"/>
          </w:tcPr>
          <w:p w14:paraId="3D56D1D7">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5F73DF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7781F31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法定代表人</w:t>
            </w:r>
          </w:p>
          <w:p w14:paraId="724EC31C">
            <w:pPr>
              <w:widowControl w:val="0"/>
              <w:adjustRightInd w:val="0"/>
              <w:snapToGrid w:val="0"/>
              <w:spacing w:after="0" w:line="300" w:lineRule="exact"/>
              <w:ind w:firstLine="100" w:firstLineChars="48"/>
              <w:jc w:val="center"/>
              <w:rPr>
                <w:rFonts w:hint="default" w:ascii="Times New Roman" w:hAnsi="Times New Roman" w:eastAsia="宋体" w:cs="Times New Roman"/>
                <w:lang w:val="en-US" w:eastAsia="zh-CN"/>
              </w:rPr>
            </w:pPr>
            <w:r>
              <w:rPr>
                <w:rFonts w:ascii="Times New Roman" w:hAnsi="Times New Roman" w:eastAsia="宋体" w:cs="Times New Roman"/>
                <w:lang w:val="en-US" w:eastAsia="zh-CN"/>
              </w:rPr>
              <w:t>或其</w:t>
            </w:r>
            <w:r>
              <w:rPr>
                <w:rFonts w:hint="default" w:ascii="Times New Roman" w:hAnsi="Times New Roman" w:eastAsia="宋体" w:cs="Times New Roman"/>
                <w:lang w:val="en-US" w:eastAsia="zh-CN"/>
              </w:rPr>
              <w:t>委托代理人</w:t>
            </w:r>
            <w:r>
              <w:rPr>
                <w:rFonts w:ascii="Times New Roman" w:hAnsi="Times New Roman" w:eastAsia="宋体" w:cs="Times New Roman"/>
                <w:lang w:val="en-US" w:eastAsia="zh-CN"/>
              </w:rPr>
              <w:t>（签章）</w:t>
            </w:r>
          </w:p>
        </w:tc>
        <w:tc>
          <w:tcPr>
            <w:tcW w:w="1436" w:type="pct"/>
            <w:vMerge w:val="restart"/>
            <w:tcBorders>
              <w:top w:val="single" w:color="auto" w:sz="2" w:space="0"/>
              <w:left w:val="single" w:color="auto" w:sz="2" w:space="0"/>
              <w:right w:val="single" w:color="auto" w:sz="2" w:space="0"/>
            </w:tcBorders>
            <w:vAlign w:val="center"/>
          </w:tcPr>
          <w:p w14:paraId="722E5427">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right w:val="single" w:color="auto" w:sz="2" w:space="0"/>
            </w:tcBorders>
            <w:vAlign w:val="center"/>
          </w:tcPr>
          <w:p w14:paraId="3C7D3B78">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法定代表人</w:t>
            </w:r>
          </w:p>
          <w:p w14:paraId="69003626">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ascii="Times New Roman" w:hAnsi="Times New Roman" w:eastAsia="宋体" w:cs="Times New Roman"/>
                <w:lang w:val="en-US" w:eastAsia="zh-CN"/>
              </w:rPr>
              <w:t>或其</w:t>
            </w:r>
            <w:r>
              <w:rPr>
                <w:rFonts w:hint="default" w:ascii="Times New Roman" w:hAnsi="Times New Roman" w:eastAsia="宋体" w:cs="Times New Roman"/>
                <w:lang w:val="en-US" w:eastAsia="zh-CN"/>
              </w:rPr>
              <w:t>委托代理人</w:t>
            </w:r>
            <w:r>
              <w:rPr>
                <w:rFonts w:ascii="Times New Roman" w:hAnsi="Times New Roman" w:eastAsia="宋体" w:cs="Times New Roman"/>
                <w:lang w:val="en-US" w:eastAsia="zh-CN"/>
              </w:rPr>
              <w:t>（签章）</w:t>
            </w:r>
          </w:p>
        </w:tc>
        <w:tc>
          <w:tcPr>
            <w:tcW w:w="1259" w:type="pct"/>
            <w:tcBorders>
              <w:top w:val="single" w:color="auto" w:sz="2" w:space="0"/>
              <w:left w:val="single" w:color="auto" w:sz="2" w:space="0"/>
              <w:bottom w:val="single" w:color="auto" w:sz="2" w:space="0"/>
            </w:tcBorders>
            <w:vAlign w:val="center"/>
          </w:tcPr>
          <w:p w14:paraId="18574F46">
            <w:pPr>
              <w:widowControl w:val="0"/>
              <w:adjustRightInd w:val="0"/>
              <w:snapToGrid w:val="0"/>
              <w:spacing w:after="0" w:line="300" w:lineRule="exact"/>
              <w:jc w:val="center"/>
              <w:rPr>
                <w:rFonts w:hint="default" w:ascii="Times New Roman" w:hAnsi="Times New Roman" w:eastAsia="宋体" w:cs="Times New Roman"/>
                <w:lang w:val="en-US" w:eastAsia="zh-CN"/>
              </w:rPr>
            </w:pPr>
          </w:p>
        </w:tc>
      </w:tr>
      <w:tr w14:paraId="70F272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07715C7E">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vMerge w:val="continue"/>
            <w:tcBorders>
              <w:left w:val="single" w:color="auto" w:sz="2" w:space="0"/>
              <w:bottom w:val="single" w:color="auto" w:sz="2" w:space="0"/>
              <w:right w:val="single" w:color="auto" w:sz="2" w:space="0"/>
            </w:tcBorders>
            <w:vAlign w:val="center"/>
          </w:tcPr>
          <w:p w14:paraId="13104CEF">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220C32F1">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ascii="Times New Roman" w:hAnsi="Times New Roman" w:eastAsia="宋体" w:cs="Times New Roman"/>
                <w:lang w:val="en-US" w:eastAsia="zh-CN"/>
              </w:rPr>
              <w:t>拥有者性别</w:t>
            </w:r>
          </w:p>
        </w:tc>
        <w:tc>
          <w:tcPr>
            <w:tcW w:w="1259" w:type="pct"/>
            <w:tcBorders>
              <w:top w:val="single" w:color="auto" w:sz="2" w:space="0"/>
              <w:left w:val="single" w:color="auto" w:sz="2" w:space="0"/>
              <w:bottom w:val="single" w:color="auto" w:sz="2" w:space="0"/>
            </w:tcBorders>
            <w:vAlign w:val="center"/>
          </w:tcPr>
          <w:p w14:paraId="33C71FAA">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5E1894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02ACCA8">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ascii="Times New Roman" w:hAnsi="Times New Roman" w:eastAsia="宋体" w:cs="Times New Roman"/>
                <w:lang w:val="en-US" w:eastAsia="zh-CN"/>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3F55ED4A">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43342621">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ascii="Times New Roman" w:hAnsi="Times New Roman" w:eastAsia="宋体" w:cs="Times New Roman"/>
                <w:lang w:val="en-US" w:eastAsia="zh-CN"/>
              </w:rPr>
              <w:t>住  所</w:t>
            </w:r>
          </w:p>
        </w:tc>
        <w:tc>
          <w:tcPr>
            <w:tcW w:w="1259" w:type="pct"/>
            <w:tcBorders>
              <w:top w:val="single" w:color="auto" w:sz="2" w:space="0"/>
              <w:left w:val="single" w:color="auto" w:sz="2" w:space="0"/>
              <w:bottom w:val="single" w:color="auto" w:sz="2" w:space="0"/>
            </w:tcBorders>
            <w:vAlign w:val="center"/>
          </w:tcPr>
          <w:p w14:paraId="49825027">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177C9CD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D4DBEDF">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4E0C90A9">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3DCAB45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 系 人</w:t>
            </w:r>
          </w:p>
        </w:tc>
        <w:tc>
          <w:tcPr>
            <w:tcW w:w="1259" w:type="pct"/>
            <w:tcBorders>
              <w:top w:val="single" w:color="auto" w:sz="2" w:space="0"/>
              <w:left w:val="single" w:color="auto" w:sz="2" w:space="0"/>
              <w:bottom w:val="single" w:color="auto" w:sz="2" w:space="0"/>
            </w:tcBorders>
            <w:vAlign w:val="center"/>
          </w:tcPr>
          <w:p w14:paraId="6842B493">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1467160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D3453C7">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A727E5D">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4700044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259" w:type="pct"/>
            <w:tcBorders>
              <w:top w:val="single" w:color="auto" w:sz="2" w:space="0"/>
              <w:left w:val="single" w:color="auto" w:sz="2" w:space="0"/>
              <w:bottom w:val="single" w:color="auto" w:sz="2" w:space="0"/>
            </w:tcBorders>
            <w:vAlign w:val="center"/>
          </w:tcPr>
          <w:p w14:paraId="6CB97639">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53F727E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EC9118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ascii="Times New Roman" w:hAnsi="Times New Roman" w:eastAsia="宋体" w:cs="Times New Roman"/>
                <w:lang w:val="en-US"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49143DD">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16E6EF45">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ascii="Times New Roman" w:hAnsi="Times New Roman" w:eastAsia="宋体" w:cs="Times New Roman"/>
                <w:lang w:val="en-US" w:eastAsia="zh-CN"/>
              </w:rPr>
              <w:t>通信地址</w:t>
            </w:r>
          </w:p>
        </w:tc>
        <w:tc>
          <w:tcPr>
            <w:tcW w:w="1259" w:type="pct"/>
            <w:tcBorders>
              <w:top w:val="single" w:color="auto" w:sz="2" w:space="0"/>
              <w:left w:val="single" w:color="auto" w:sz="2" w:space="0"/>
              <w:bottom w:val="single" w:color="auto" w:sz="2" w:space="0"/>
            </w:tcBorders>
            <w:vAlign w:val="center"/>
          </w:tcPr>
          <w:p w14:paraId="39AC5E44">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7A99A29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87D02CC">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367550D9">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72812D12">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邮政编码</w:t>
            </w:r>
          </w:p>
        </w:tc>
        <w:tc>
          <w:tcPr>
            <w:tcW w:w="1259" w:type="pct"/>
            <w:tcBorders>
              <w:top w:val="single" w:color="auto" w:sz="2" w:space="0"/>
              <w:left w:val="single" w:color="auto" w:sz="2" w:space="0"/>
              <w:bottom w:val="single" w:color="auto" w:sz="2" w:space="0"/>
            </w:tcBorders>
            <w:vAlign w:val="center"/>
          </w:tcPr>
          <w:p w14:paraId="2F3576EA">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3004D6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8B34ADD">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ascii="Times New Roman" w:hAnsi="Times New Roman" w:eastAsia="宋体" w:cs="Times New Roman"/>
                <w:lang w:val="en-US" w:eastAsia="zh-CN"/>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F6B9A2C">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6F38AB5F">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ascii="Times New Roman" w:hAnsi="Times New Roman" w:eastAsia="宋体" w:cs="Times New Roman"/>
                <w:lang w:val="en-US" w:eastAsia="zh-CN"/>
              </w:rPr>
              <w:t>电子邮箱</w:t>
            </w:r>
          </w:p>
        </w:tc>
        <w:tc>
          <w:tcPr>
            <w:tcW w:w="1259" w:type="pct"/>
            <w:tcBorders>
              <w:top w:val="single" w:color="auto" w:sz="2" w:space="0"/>
              <w:left w:val="single" w:color="auto" w:sz="2" w:space="0"/>
              <w:bottom w:val="single" w:color="auto" w:sz="2" w:space="0"/>
            </w:tcBorders>
            <w:vAlign w:val="center"/>
          </w:tcPr>
          <w:p w14:paraId="31F80325">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089D4E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4E15C4E">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ascii="Times New Roman" w:hAnsi="Times New Roman" w:eastAsia="宋体" w:cs="Times New Roman"/>
                <w:lang w:val="en-US" w:eastAsia="zh-CN"/>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667048E9">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5DA8ECA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ascii="Times New Roman" w:hAnsi="Times New Roman" w:eastAsia="宋体" w:cs="Times New Roman"/>
                <w:lang w:val="en-US" w:eastAsia="zh-CN"/>
              </w:rPr>
              <w:t>统一社会信用代码</w:t>
            </w:r>
          </w:p>
        </w:tc>
        <w:tc>
          <w:tcPr>
            <w:tcW w:w="1259" w:type="pct"/>
            <w:tcBorders>
              <w:top w:val="single" w:color="auto" w:sz="2" w:space="0"/>
              <w:left w:val="single" w:color="auto" w:sz="2" w:space="0"/>
              <w:bottom w:val="single" w:color="auto" w:sz="2" w:space="0"/>
            </w:tcBorders>
            <w:vAlign w:val="center"/>
          </w:tcPr>
          <w:p w14:paraId="467FC2F2">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46E16E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65541CD">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tcBorders>
              <w:top w:val="single" w:color="auto" w:sz="2" w:space="0"/>
              <w:left w:val="single" w:color="auto" w:sz="2" w:space="0"/>
              <w:bottom w:val="single" w:color="auto" w:sz="2" w:space="0"/>
              <w:right w:val="single" w:color="auto" w:sz="2" w:space="0"/>
            </w:tcBorders>
            <w:vAlign w:val="center"/>
          </w:tcPr>
          <w:p w14:paraId="366CFDA4">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68325F5C">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开户名称</w:t>
            </w:r>
          </w:p>
        </w:tc>
        <w:tc>
          <w:tcPr>
            <w:tcW w:w="1259" w:type="pct"/>
            <w:tcBorders>
              <w:top w:val="single" w:color="auto" w:sz="2" w:space="0"/>
              <w:left w:val="single" w:color="auto" w:sz="2" w:space="0"/>
              <w:bottom w:val="single" w:color="auto" w:sz="2" w:space="0"/>
            </w:tcBorders>
            <w:vAlign w:val="center"/>
          </w:tcPr>
          <w:p w14:paraId="461CE34D">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6EB253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94BFFB8">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tcBorders>
              <w:top w:val="single" w:color="auto" w:sz="2" w:space="0"/>
              <w:left w:val="single" w:color="auto" w:sz="2" w:space="0"/>
              <w:bottom w:val="single" w:color="auto" w:sz="2" w:space="0"/>
              <w:right w:val="single" w:color="auto" w:sz="2" w:space="0"/>
            </w:tcBorders>
            <w:vAlign w:val="center"/>
          </w:tcPr>
          <w:p w14:paraId="34535F36">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4414B16F">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开户银行</w:t>
            </w:r>
          </w:p>
        </w:tc>
        <w:tc>
          <w:tcPr>
            <w:tcW w:w="1259" w:type="pct"/>
            <w:tcBorders>
              <w:top w:val="single" w:color="auto" w:sz="2" w:space="0"/>
              <w:left w:val="single" w:color="auto" w:sz="2" w:space="0"/>
              <w:bottom w:val="single" w:color="auto" w:sz="2" w:space="0"/>
            </w:tcBorders>
            <w:vAlign w:val="center"/>
          </w:tcPr>
          <w:p w14:paraId="3406C7FF">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261ECC1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EB0D655">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tcBorders>
              <w:top w:val="single" w:color="auto" w:sz="2" w:space="0"/>
              <w:left w:val="single" w:color="auto" w:sz="2" w:space="0"/>
              <w:bottom w:val="single" w:color="auto" w:sz="2" w:space="0"/>
              <w:right w:val="single" w:color="auto" w:sz="2" w:space="0"/>
            </w:tcBorders>
            <w:vAlign w:val="center"/>
          </w:tcPr>
          <w:p w14:paraId="0DE9F637">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25390A52">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银行账号</w:t>
            </w:r>
          </w:p>
        </w:tc>
        <w:tc>
          <w:tcPr>
            <w:tcW w:w="1259" w:type="pct"/>
            <w:tcBorders>
              <w:top w:val="single" w:color="auto" w:sz="2" w:space="0"/>
              <w:left w:val="single" w:color="auto" w:sz="2" w:space="0"/>
              <w:bottom w:val="single" w:color="auto" w:sz="2" w:space="0"/>
            </w:tcBorders>
            <w:vAlign w:val="center"/>
          </w:tcPr>
          <w:p w14:paraId="562DDE9C">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3159B5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5AB2F77">
            <w:pPr>
              <w:widowControl w:val="0"/>
              <w:adjustRightInd w:val="0"/>
              <w:snapToGrid w:val="0"/>
              <w:spacing w:before="120" w:beforeLines="50" w:after="0" w:line="360" w:lineRule="auto"/>
              <w:jc w:val="left"/>
              <w:rPr>
                <w:rFonts w:hint="default" w:ascii="Times New Roman" w:hAnsi="Times New Roman" w:eastAsia="宋体" w:cs="Times New Roman"/>
                <w:spacing w:val="20"/>
                <w:lang w:val="en-US" w:eastAsia="zh-CN"/>
              </w:rPr>
            </w:pPr>
            <w:r>
              <w:rPr>
                <w:rFonts w:ascii="宋体" w:hAnsi="宋体" w:eastAsia="宋体" w:cs="Times New Roman"/>
                <w:lang w:val="en-US" w:eastAsia="zh-CN"/>
              </w:rPr>
              <w:t>注：涉及联合体或其他合同主体的信息应按上表格式加列。</w:t>
            </w:r>
          </w:p>
        </w:tc>
      </w:tr>
    </w:tbl>
    <w:p w14:paraId="68665E6D">
      <w:pPr>
        <w:keepNext/>
        <w:keepLines/>
        <w:widowControl w:val="0"/>
        <w:adjustRightInd w:val="0"/>
        <w:snapToGrid w:val="0"/>
        <w:spacing w:after="0" w:line="400" w:lineRule="exact"/>
        <w:jc w:val="center"/>
        <w:outlineLvl w:val="1"/>
        <w:rPr>
          <w:rFonts w:ascii="黑体" w:hAnsi="黑体" w:eastAsia="黑体" w:cs="Times New Roman"/>
          <w:sz w:val="28"/>
          <w:szCs w:val="28"/>
          <w:lang w:val="en-US" w:eastAsia="zh-CN"/>
        </w:rPr>
      </w:pPr>
      <w:r>
        <w:rPr>
          <w:rFonts w:hint="default" w:ascii="宋体" w:hAnsi="宋体" w:eastAsia="宋体" w:cs="Times New Roman"/>
          <w:b/>
          <w:bCs/>
          <w:u w:val="single"/>
          <w:lang w:val="en-US" w:eastAsia="zh-CN"/>
        </w:rPr>
        <w:br w:type="page"/>
      </w:r>
      <w:r>
        <w:rPr>
          <w:rFonts w:ascii="黑体" w:hAnsi="黑体" w:eastAsia="黑体" w:cs="Times New Roman"/>
          <w:sz w:val="28"/>
          <w:szCs w:val="28"/>
          <w:lang w:val="en-US" w:eastAsia="zh-CN"/>
        </w:rPr>
        <w:t>第二节 政府采购合同通用条款</w:t>
      </w:r>
    </w:p>
    <w:p w14:paraId="1981F7A2">
      <w:pPr>
        <w:widowControl w:val="0"/>
        <w:tabs>
          <w:tab w:val="left" w:pos="8820"/>
          <w:tab w:val="left" w:pos="9345"/>
          <w:tab w:val="left" w:pos="9765"/>
        </w:tabs>
        <w:adjustRightInd w:val="0"/>
        <w:snapToGrid w:val="0"/>
        <w:spacing w:after="0" w:line="400" w:lineRule="exact"/>
        <w:jc w:val="left"/>
        <w:rPr>
          <w:rFonts w:ascii="宋体" w:hAnsi="宋体" w:eastAsia="宋体" w:cs="Times New Roman"/>
          <w:b/>
          <w:bCs/>
          <w:sz w:val="24"/>
          <w:szCs w:val="24"/>
          <w:lang w:val="en-US" w:eastAsia="zh-CN"/>
        </w:rPr>
      </w:pPr>
      <w:r>
        <w:rPr>
          <w:rFonts w:ascii="宋体" w:hAnsi="宋体" w:eastAsia="宋体" w:cs="Times New Roman"/>
          <w:b/>
          <w:sz w:val="24"/>
          <w:szCs w:val="24"/>
          <w:lang w:val="en-US" w:eastAsia="zh-CN"/>
        </w:rPr>
        <w:t xml:space="preserve">1. </w:t>
      </w:r>
      <w:r>
        <w:rPr>
          <w:rFonts w:ascii="宋体" w:hAnsi="宋体" w:eastAsia="宋体" w:cs="Times New Roman"/>
          <w:b/>
          <w:bCs/>
          <w:sz w:val="24"/>
          <w:szCs w:val="24"/>
          <w:lang w:val="en-US" w:eastAsia="zh-CN"/>
        </w:rPr>
        <w:t>定义</w:t>
      </w:r>
    </w:p>
    <w:p w14:paraId="0941D4BD">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1.1合同当事人</w:t>
      </w:r>
    </w:p>
    <w:p w14:paraId="26314930">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（1）采购人（以下称甲方）是指使用财政性资金，通过政府采购方式向供应商购买货物及其相关服务的国家机关、事业单位、团体组织。</w:t>
      </w:r>
    </w:p>
    <w:p w14:paraId="5236B778">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（2）供应商（以下称乙方）是指参加政府采购活动并且中标（成交），向采购人提供合同约定的货物及其相关服务的法人、非法人组织或者自然人。</w:t>
      </w:r>
    </w:p>
    <w:p w14:paraId="78A413BC">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（3）其他合同主体是指除采购人和供应商以外，</w:t>
      </w:r>
      <w:r>
        <w:rPr>
          <w:rFonts w:ascii="宋体" w:hAnsi="宋体" w:eastAsia="宋体" w:cs="宋体"/>
          <w:bCs/>
          <w:lang w:val="en-US" w:eastAsia="zh-CN"/>
        </w:rPr>
        <w:t>依法参与合同缔结或履行，享有权利、承担义务的合同当事人</w:t>
      </w:r>
      <w:r>
        <w:rPr>
          <w:rFonts w:ascii="宋体" w:hAnsi="宋体" w:eastAsia="宋体" w:cs="Times New Roman"/>
          <w:lang w:val="en-US" w:eastAsia="zh-CN"/>
        </w:rPr>
        <w:t>。</w:t>
      </w:r>
    </w:p>
    <w:p w14:paraId="054406E8">
      <w:pPr>
        <w:widowControl w:val="0"/>
        <w:tabs>
          <w:tab w:val="left" w:pos="570"/>
          <w:tab w:val="left" w:pos="9240"/>
          <w:tab w:val="left" w:pos="9555"/>
        </w:tabs>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1.2本合同下列术语应解释为：</w:t>
      </w:r>
    </w:p>
    <w:p w14:paraId="4C7DC375">
      <w:pPr>
        <w:widowControl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（1）“合同”系指</w:t>
      </w:r>
      <w:r>
        <w:rPr>
          <w:rFonts w:ascii="宋体" w:hAnsi="宋体" w:eastAsia="宋体" w:cs="宋体"/>
          <w:bCs/>
          <w:lang w:val="en-US" w:eastAsia="zh-CN"/>
        </w:rPr>
        <w:t>合同当事人意思表示达成一致的任何协议，包括签署的</w:t>
      </w:r>
      <w:r>
        <w:rPr>
          <w:rFonts w:ascii="宋体" w:hAnsi="宋体" w:eastAsia="宋体" w:cs="Times New Roman"/>
          <w:lang w:val="en-US" w:eastAsia="zh-CN"/>
        </w:rPr>
        <w:t>政府采购合同协议书及其变更、补充协议，政府采购合同专用条款，政府采购合同通用条款，中标（成交）通知书，投标（响应）文件，采购文件，有关技术文件和图纸，以及</w:t>
      </w:r>
      <w:r>
        <w:rPr>
          <w:rFonts w:ascii="宋体" w:hAnsi="宋体" w:eastAsia="宋体" w:cs="宋体"/>
          <w:lang w:val="en-US" w:eastAsia="zh-CN"/>
        </w:rPr>
        <w:t>国家法律、行政法规和规章制度规定或合同约定的作为合同组成部分的其他文件</w:t>
      </w:r>
      <w:r>
        <w:rPr>
          <w:rFonts w:ascii="宋体" w:hAnsi="宋体" w:eastAsia="宋体" w:cs="Times New Roman"/>
          <w:lang w:val="en-US" w:eastAsia="zh-CN"/>
        </w:rPr>
        <w:t>。</w:t>
      </w:r>
    </w:p>
    <w:p w14:paraId="5D16C21E">
      <w:pPr>
        <w:widowControl w:val="0"/>
        <w:tabs>
          <w:tab w:val="left" w:pos="570"/>
          <w:tab w:val="left" w:pos="9240"/>
          <w:tab w:val="left" w:pos="9555"/>
        </w:tabs>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（2）“合同价款”系指根据本合同规定乙方在全面履行合同义务后甲方应支付给乙方的价款。合同价款具体要求见</w:t>
      </w:r>
      <w:r>
        <w:rPr>
          <w:rFonts w:ascii="宋体" w:hAnsi="宋体" w:eastAsia="宋体" w:cs="Times New Roman"/>
          <w:b/>
          <w:bCs/>
          <w:lang w:val="en-US" w:eastAsia="zh-CN"/>
        </w:rPr>
        <w:t>【政府采购合同专用条款】</w:t>
      </w:r>
    </w:p>
    <w:p w14:paraId="3603F9E1">
      <w:pPr>
        <w:widowControl w:val="0"/>
        <w:tabs>
          <w:tab w:val="left" w:pos="570"/>
          <w:tab w:val="left" w:pos="9240"/>
          <w:tab w:val="left" w:pos="9555"/>
        </w:tabs>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（3）“货物”系指乙方根据本合同规定须向甲方提供的各种形态和种类的物品，包括原材料、设备、产品（包括软件）及相关的其备品备件、工具、手册及</w:t>
      </w:r>
      <w:r>
        <w:rPr>
          <w:rFonts w:hint="default" w:ascii="宋体" w:hAnsi="宋体" w:eastAsia="宋体" w:cs="Times New Roman"/>
          <w:lang w:val="en" w:eastAsia="zh-CN"/>
        </w:rPr>
        <w:t>其他</w:t>
      </w:r>
      <w:r>
        <w:rPr>
          <w:rFonts w:ascii="宋体" w:hAnsi="宋体" w:eastAsia="宋体" w:cs="Times New Roman"/>
          <w:lang w:val="en-US" w:eastAsia="zh-CN"/>
        </w:rPr>
        <w:t>技术资料和材料等。</w:t>
      </w:r>
    </w:p>
    <w:p w14:paraId="13038566">
      <w:pPr>
        <w:widowControl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（4）“相关服务”系指根据合同规定，乙方应提供的与货物有关的技术、管理和</w:t>
      </w:r>
      <w:r>
        <w:rPr>
          <w:rFonts w:hint="default" w:ascii="宋体" w:hAnsi="宋体" w:eastAsia="宋体" w:cs="Times New Roman"/>
          <w:lang w:val="en" w:eastAsia="zh-CN"/>
        </w:rPr>
        <w:t>其他</w:t>
      </w:r>
      <w:r>
        <w:rPr>
          <w:rFonts w:ascii="宋体" w:hAnsi="宋体" w:eastAsia="宋体" w:cs="Times New Roman"/>
          <w:lang w:val="en-US" w:eastAsia="zh-CN"/>
        </w:rPr>
        <w:t>服务，包括但不限于：管理和质量保证、运输、保险、检验、现场准备、安装、集成、调试、培训、维修、废弃处置、技术支持等以及合同中规定乙方应承担的</w:t>
      </w:r>
      <w:r>
        <w:rPr>
          <w:rFonts w:hint="default" w:ascii="宋体" w:hAnsi="宋体" w:eastAsia="宋体" w:cs="Times New Roman"/>
          <w:lang w:val="en" w:eastAsia="zh-CN"/>
        </w:rPr>
        <w:t>其他</w:t>
      </w:r>
      <w:r>
        <w:rPr>
          <w:rFonts w:ascii="宋体" w:hAnsi="宋体" w:eastAsia="宋体" w:cs="Times New Roman"/>
          <w:lang w:val="en-US" w:eastAsia="zh-CN"/>
        </w:rPr>
        <w:t>义务。</w:t>
      </w:r>
    </w:p>
    <w:p w14:paraId="3C4AF78C">
      <w:pPr>
        <w:widowControl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（5）“分包”系指中标（成交）供应商按采购文件、投标（响应）文件的规定，根据分包意向协议，将中标（成交）项目中的部分履约内容，分给具有相应资质条件的供应商履行合同的行为。</w:t>
      </w:r>
    </w:p>
    <w:p w14:paraId="360FD777">
      <w:pPr>
        <w:widowControl w:val="0"/>
        <w:tabs>
          <w:tab w:val="left" w:pos="570"/>
          <w:tab w:val="left" w:pos="9240"/>
          <w:tab w:val="left" w:pos="9555"/>
        </w:tabs>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宋体" w:hAnsi="宋体" w:eastAsia="宋体" w:cs="Times New Roman"/>
          <w:b/>
          <w:bCs/>
          <w:lang w:val="en-US" w:eastAsia="zh-CN"/>
        </w:rPr>
        <w:t>政府采购合同专用条款</w:t>
      </w:r>
      <w:r>
        <w:rPr>
          <w:rFonts w:ascii="宋体" w:hAnsi="宋体" w:eastAsia="宋体" w:cs="Times New Roman"/>
          <w:lang w:val="en-US" w:eastAsia="zh-CN"/>
        </w:rPr>
        <w:t>】。</w:t>
      </w:r>
    </w:p>
    <w:p w14:paraId="5AAA93F9">
      <w:pPr>
        <w:widowControl w:val="0"/>
        <w:tabs>
          <w:tab w:val="left" w:pos="570"/>
          <w:tab w:val="left" w:pos="9240"/>
          <w:tab w:val="left" w:pos="9555"/>
        </w:tabs>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（7）其他术语解释，见【</w:t>
      </w:r>
      <w:r>
        <w:rPr>
          <w:rFonts w:ascii="宋体" w:hAnsi="宋体" w:eastAsia="宋体" w:cs="Times New Roman"/>
          <w:b/>
          <w:bCs/>
          <w:lang w:val="en-US" w:eastAsia="zh-CN"/>
        </w:rPr>
        <w:t>政府采购合同专用条款</w:t>
      </w:r>
      <w:r>
        <w:rPr>
          <w:rFonts w:ascii="宋体" w:hAnsi="宋体" w:eastAsia="宋体" w:cs="Times New Roman"/>
          <w:lang w:val="en-US" w:eastAsia="zh-CN"/>
        </w:rPr>
        <w:t>】。</w:t>
      </w:r>
    </w:p>
    <w:p w14:paraId="4DB72182">
      <w:pPr>
        <w:widowControl w:val="0"/>
        <w:numPr>
          <w:ilvl w:val="0"/>
          <w:numId w:val="9"/>
        </w:numPr>
        <w:autoSpaceDE w:val="0"/>
        <w:autoSpaceDN w:val="0"/>
        <w:adjustRightInd w:val="0"/>
        <w:snapToGrid w:val="0"/>
        <w:spacing w:after="0" w:line="400" w:lineRule="exact"/>
        <w:jc w:val="left"/>
        <w:rPr>
          <w:rFonts w:ascii="宋体" w:hAnsi="宋体" w:eastAsia="宋体" w:cs="Times New Roman"/>
          <w:b/>
          <w:bCs/>
          <w:sz w:val="24"/>
          <w:szCs w:val="24"/>
          <w:lang w:val="en-US" w:eastAsia="zh-CN"/>
        </w:rPr>
      </w:pPr>
      <w:r>
        <w:rPr>
          <w:rFonts w:ascii="宋体" w:hAnsi="宋体" w:eastAsia="宋体" w:cs="Times New Roman"/>
          <w:b/>
          <w:sz w:val="24"/>
          <w:szCs w:val="24"/>
          <w:lang w:val="en-US" w:eastAsia="zh-CN"/>
        </w:rPr>
        <w:t>合同标的及金额</w:t>
      </w:r>
    </w:p>
    <w:p w14:paraId="15962A0B">
      <w:pPr>
        <w:widowControl w:val="0"/>
        <w:autoSpaceDE w:val="0"/>
        <w:autoSpaceDN w:val="0"/>
        <w:adjustRightInd w:val="0"/>
        <w:snapToGrid w:val="0"/>
        <w:spacing w:after="0" w:line="400" w:lineRule="exact"/>
        <w:ind w:firstLine="420" w:firstLineChars="200"/>
        <w:jc w:val="left"/>
        <w:rPr>
          <w:rFonts w:ascii="宋体" w:hAnsi="宋体" w:eastAsia="宋体" w:cs="Times New Roman"/>
          <w:b/>
          <w:bCs/>
          <w:i/>
          <w:iCs/>
          <w:lang w:val="en-US" w:eastAsia="zh-CN"/>
        </w:rPr>
      </w:pPr>
      <w:r>
        <w:rPr>
          <w:rFonts w:ascii="宋体" w:hAnsi="宋体" w:eastAsia="宋体" w:cs="Times New Roman"/>
          <w:lang w:val="en-US" w:eastAsia="zh-CN"/>
        </w:rPr>
        <w:t>2.1 合同标的及金额应与中标（成交）结果一致。乙方为履行本合同而发生的所有费用均应包含在合同价款中，甲方不再另行支付</w:t>
      </w:r>
      <w:r>
        <w:rPr>
          <w:rFonts w:hint="default" w:ascii="宋体" w:hAnsi="宋体" w:eastAsia="宋体" w:cs="Times New Roman"/>
          <w:lang w:val="en" w:eastAsia="zh-CN"/>
        </w:rPr>
        <w:t>其他</w:t>
      </w:r>
      <w:r>
        <w:rPr>
          <w:rFonts w:ascii="宋体" w:hAnsi="宋体" w:eastAsia="宋体" w:cs="Times New Roman"/>
          <w:lang w:val="en-US" w:eastAsia="zh-CN"/>
        </w:rPr>
        <w:t>任何费用。</w:t>
      </w:r>
    </w:p>
    <w:p w14:paraId="2F6F96DE">
      <w:pPr>
        <w:widowControl w:val="0"/>
        <w:adjustRightInd w:val="0"/>
        <w:snapToGrid w:val="0"/>
        <w:spacing w:after="0" w:line="400" w:lineRule="exact"/>
        <w:jc w:val="left"/>
        <w:rPr>
          <w:rFonts w:ascii="宋体" w:hAnsi="宋体" w:eastAsia="宋体" w:cs="Times New Roman"/>
          <w:b/>
          <w:sz w:val="24"/>
          <w:szCs w:val="24"/>
          <w:lang w:val="en-US" w:eastAsia="zh-CN"/>
        </w:rPr>
      </w:pPr>
      <w:r>
        <w:rPr>
          <w:rFonts w:ascii="宋体" w:hAnsi="宋体" w:eastAsia="宋体" w:cs="Times New Roman"/>
          <w:b/>
          <w:sz w:val="24"/>
          <w:szCs w:val="24"/>
          <w:lang w:val="en-US" w:eastAsia="zh-CN"/>
        </w:rPr>
        <w:t>3. 履行合同的时间、地点和方式</w:t>
      </w:r>
    </w:p>
    <w:p w14:paraId="111AD349">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 xml:space="preserve">3.1 </w:t>
      </w:r>
      <w:r>
        <w:rPr>
          <w:rFonts w:ascii="宋体" w:hAnsi="宋体" w:eastAsia="宋体" w:cs="宋体"/>
          <w:lang w:val="en-US" w:eastAsia="zh-CN"/>
        </w:rPr>
        <w:t>乙方应当在约定的时间、地点，按照约定方式履行合同。</w:t>
      </w:r>
    </w:p>
    <w:p w14:paraId="04728A4A">
      <w:pPr>
        <w:widowControl w:val="0"/>
        <w:autoSpaceDE w:val="0"/>
        <w:autoSpaceDN w:val="0"/>
        <w:adjustRightInd w:val="0"/>
        <w:snapToGrid w:val="0"/>
        <w:spacing w:after="0" w:line="400" w:lineRule="exact"/>
        <w:jc w:val="left"/>
        <w:rPr>
          <w:rFonts w:ascii="宋体" w:hAnsi="宋体" w:eastAsia="宋体" w:cs="Times New Roman"/>
          <w:b/>
          <w:bCs/>
          <w:sz w:val="24"/>
          <w:szCs w:val="24"/>
          <w:lang w:val="en-US" w:eastAsia="zh-CN"/>
        </w:rPr>
      </w:pPr>
      <w:r>
        <w:rPr>
          <w:rFonts w:ascii="宋体" w:hAnsi="宋体" w:eastAsia="宋体" w:cs="Times New Roman"/>
          <w:b/>
          <w:bCs/>
          <w:sz w:val="24"/>
          <w:szCs w:val="24"/>
          <w:lang w:val="en-US" w:eastAsia="zh-CN"/>
        </w:rPr>
        <w:t>4. 甲方的权利和义务</w:t>
      </w:r>
    </w:p>
    <w:p w14:paraId="12BB1D31">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4.1</w:t>
      </w:r>
      <w:r>
        <w:rPr>
          <w:rFonts w:hint="default" w:ascii="宋体" w:hAnsi="宋体" w:eastAsia="宋体" w:cs="Times New Roman"/>
          <w:lang w:val="en-US" w:eastAsia="zh-CN"/>
        </w:rPr>
        <w:t xml:space="preserve"> 签署合同后，甲方</w:t>
      </w:r>
      <w:r>
        <w:rPr>
          <w:rFonts w:ascii="宋体" w:hAnsi="宋体" w:eastAsia="宋体" w:cs="Times New Roman"/>
          <w:lang w:val="en-US" w:eastAsia="zh-CN"/>
        </w:rPr>
        <w:t>应</w:t>
      </w:r>
      <w:r>
        <w:rPr>
          <w:rFonts w:hint="default" w:ascii="宋体" w:hAnsi="宋体" w:eastAsia="宋体" w:cs="Times New Roman"/>
          <w:lang w:val="en-US" w:eastAsia="zh-CN"/>
        </w:rPr>
        <w:t>确定</w:t>
      </w:r>
      <w:r>
        <w:rPr>
          <w:rFonts w:ascii="宋体" w:hAnsi="宋体" w:eastAsia="宋体" w:cs="Times New Roman"/>
          <w:lang w:val="en-US" w:eastAsia="zh-CN"/>
        </w:rPr>
        <w:t>项目负责人（或项目联系人）</w:t>
      </w:r>
      <w:r>
        <w:rPr>
          <w:rFonts w:hint="default" w:ascii="宋体" w:hAnsi="宋体" w:eastAsia="宋体" w:cs="Times New Roman"/>
          <w:lang w:val="en-US" w:eastAsia="zh-CN"/>
        </w:rPr>
        <w:t>，负责与本合同有关的事务。</w:t>
      </w:r>
      <w:r>
        <w:rPr>
          <w:rFonts w:ascii="宋体" w:hAnsi="宋体" w:eastAsia="宋体" w:cs="Times New Roman"/>
          <w:lang w:val="en-US" w:eastAsia="zh-CN"/>
        </w:rPr>
        <w:t>甲方有权对乙方的履约行为进行检查，并</w:t>
      </w:r>
      <w:r>
        <w:rPr>
          <w:rFonts w:hint="default" w:ascii="宋体" w:hAnsi="宋体" w:eastAsia="宋体" w:cs="Times New Roman"/>
          <w:lang w:val="en-US" w:eastAsia="zh-CN"/>
        </w:rPr>
        <w:t>及时确认乙方提交的事项</w:t>
      </w:r>
      <w:r>
        <w:rPr>
          <w:rFonts w:ascii="宋体" w:hAnsi="宋体" w:eastAsia="宋体" w:cs="Times New Roman"/>
          <w:lang w:val="en-US" w:eastAsia="zh-CN"/>
        </w:rPr>
        <w:t>。甲方应当</w:t>
      </w:r>
      <w:r>
        <w:rPr>
          <w:rFonts w:hint="default" w:ascii="宋体" w:hAnsi="宋体" w:eastAsia="宋体" w:cs="Times New Roman"/>
          <w:lang w:val="en-US" w:eastAsia="zh-CN"/>
        </w:rPr>
        <w:t>配合乙方完成</w:t>
      </w:r>
      <w:r>
        <w:rPr>
          <w:rFonts w:ascii="宋体" w:hAnsi="宋体" w:eastAsia="宋体" w:cs="Times New Roman"/>
          <w:lang w:val="en-US" w:eastAsia="zh-CN"/>
        </w:rPr>
        <w:t>相关项目</w:t>
      </w:r>
      <w:r>
        <w:rPr>
          <w:rFonts w:hint="default" w:ascii="宋体" w:hAnsi="宋体" w:eastAsia="宋体" w:cs="Times New Roman"/>
          <w:lang w:val="en-US" w:eastAsia="zh-CN"/>
        </w:rPr>
        <w:t>实施工作。</w:t>
      </w:r>
    </w:p>
    <w:p w14:paraId="16E8EE54">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 xml:space="preserve">4.2 </w:t>
      </w:r>
      <w:r>
        <w:rPr>
          <w:rFonts w:hint="default" w:ascii="宋体" w:hAnsi="宋体" w:eastAsia="宋体" w:cs="Times New Roman"/>
          <w:lang w:val="en-US" w:eastAsia="zh-CN"/>
        </w:rPr>
        <w:t>甲方有权要求乙方按时提交各阶段有关</w:t>
      </w:r>
      <w:r>
        <w:rPr>
          <w:rFonts w:ascii="宋体" w:hAnsi="宋体" w:eastAsia="宋体" w:cs="Times New Roman"/>
          <w:lang w:val="en-US" w:eastAsia="zh-CN"/>
        </w:rPr>
        <w:t>安排计划</w:t>
      </w:r>
      <w:r>
        <w:rPr>
          <w:rFonts w:hint="default" w:ascii="宋体" w:hAnsi="宋体" w:eastAsia="宋体" w:cs="Times New Roman"/>
          <w:lang w:val="en-US" w:eastAsia="zh-CN"/>
        </w:rPr>
        <w:t>，并有权</w:t>
      </w:r>
      <w:r>
        <w:rPr>
          <w:rFonts w:ascii="宋体" w:hAnsi="宋体" w:eastAsia="宋体" w:cs="Times New Roman"/>
          <w:lang w:val="en-US" w:eastAsia="zh-CN"/>
        </w:rPr>
        <w:t>定期核对乙方提供货物数量、规格、质量等内容。甲方</w:t>
      </w:r>
      <w:r>
        <w:rPr>
          <w:rFonts w:hint="default" w:ascii="宋体" w:hAnsi="宋体" w:eastAsia="宋体" w:cs="Times New Roman"/>
          <w:lang w:val="en-US" w:eastAsia="zh-CN"/>
        </w:rPr>
        <w:t>有权督促乙方工作并要求乙方</w:t>
      </w:r>
      <w:r>
        <w:rPr>
          <w:rFonts w:ascii="宋体" w:hAnsi="宋体" w:eastAsia="宋体" w:cs="Times New Roman"/>
          <w:lang w:val="en-US" w:eastAsia="zh-CN"/>
        </w:rPr>
        <w:t>更</w:t>
      </w:r>
      <w:r>
        <w:rPr>
          <w:rFonts w:hint="default" w:ascii="宋体" w:hAnsi="宋体" w:eastAsia="宋体" w:cs="Times New Roman"/>
          <w:lang w:val="en-US" w:eastAsia="zh-CN"/>
        </w:rPr>
        <w:t>换不符合要求的</w:t>
      </w:r>
      <w:r>
        <w:rPr>
          <w:rFonts w:ascii="宋体" w:hAnsi="宋体" w:eastAsia="宋体" w:cs="Times New Roman"/>
          <w:lang w:val="en-US" w:eastAsia="zh-CN"/>
        </w:rPr>
        <w:t>货物</w:t>
      </w:r>
      <w:r>
        <w:rPr>
          <w:rFonts w:hint="default" w:ascii="宋体" w:hAnsi="宋体" w:eastAsia="宋体" w:cs="Times New Roman"/>
          <w:lang w:val="en-US" w:eastAsia="zh-CN"/>
        </w:rPr>
        <w:t>。</w:t>
      </w:r>
    </w:p>
    <w:p w14:paraId="76363F5E">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4.</w:t>
      </w:r>
      <w:r>
        <w:rPr>
          <w:rFonts w:hint="default" w:ascii="宋体" w:hAnsi="宋体" w:eastAsia="宋体" w:cs="Times New Roman"/>
          <w:lang w:val="en-US" w:eastAsia="zh-CN"/>
        </w:rPr>
        <w:t>3</w:t>
      </w:r>
      <w:r>
        <w:rPr>
          <w:rFonts w:ascii="宋体" w:hAnsi="宋体" w:eastAsia="宋体" w:cs="Times New Roman"/>
          <w:lang w:val="en-US" w:eastAsia="zh-CN"/>
        </w:rPr>
        <w:t xml:space="preserve"> </w:t>
      </w:r>
      <w:r>
        <w:rPr>
          <w:rFonts w:hint="default" w:ascii="宋体" w:hAnsi="宋体" w:eastAsia="宋体" w:cs="Times New Roman"/>
          <w:lang w:val="en-US" w:eastAsia="zh-CN"/>
        </w:rPr>
        <w:t>甲方</w:t>
      </w:r>
      <w:r>
        <w:rPr>
          <w:rFonts w:ascii="宋体" w:hAnsi="宋体" w:eastAsia="宋体" w:cs="Times New Roman"/>
          <w:lang w:val="en-US" w:eastAsia="zh-CN"/>
        </w:rPr>
        <w:t>有权要求乙方对缺陷部分予以修复，并按合同约定享有货物保修及其他合同约定的权利。</w:t>
      </w:r>
    </w:p>
    <w:p w14:paraId="24043EDF">
      <w:pPr>
        <w:widowControl w:val="0"/>
        <w:snapToGrid w:val="0"/>
        <w:spacing w:after="0" w:line="400" w:lineRule="exact"/>
        <w:ind w:firstLine="420" w:firstLineChars="200"/>
        <w:rPr>
          <w:rFonts w:hint="default" w:ascii="Times New Roman" w:hAnsi="Times New Roman" w:eastAsia="华文楷体" w:cs="Times New Roman"/>
          <w:szCs w:val="24"/>
          <w:lang w:val="en-US" w:eastAsia="zh-CN"/>
        </w:rPr>
      </w:pPr>
      <w:r>
        <w:rPr>
          <w:rFonts w:hint="default" w:ascii="宋体" w:hAnsi="宋体" w:eastAsia="宋体" w:cs="Times New Roman"/>
          <w:lang w:val="en-US" w:eastAsia="zh-CN"/>
        </w:rPr>
        <w:t>4.4 甲方应当按照合同约定及时对交付的货物进行验收</w:t>
      </w:r>
      <w:r>
        <w:rPr>
          <w:rFonts w:ascii="宋体" w:hAnsi="宋体" w:eastAsia="宋体" w:cs="Times New Roman"/>
          <w:lang w:val="en-US" w:eastAsia="zh-CN"/>
        </w:rPr>
        <w:t>，</w:t>
      </w:r>
      <w:r>
        <w:rPr>
          <w:rFonts w:ascii="宋体" w:hAnsi="宋体" w:eastAsia="宋体" w:cs="宋体"/>
          <w:lang w:val="en-US" w:eastAsia="zh-CN"/>
        </w:rPr>
        <w:t>未</w:t>
      </w:r>
      <w:r>
        <w:rPr>
          <w:rFonts w:ascii="宋体" w:hAnsi="宋体" w:eastAsia="宋体" w:cs="Times New Roman"/>
          <w:lang w:val="en-US" w:eastAsia="zh-CN"/>
        </w:rPr>
        <w:t>在</w:t>
      </w:r>
      <w:r>
        <w:rPr>
          <w:rFonts w:ascii="宋体" w:hAnsi="宋体" w:eastAsia="宋体" w:cs="宋体"/>
          <w:b/>
          <w:bCs/>
          <w:lang w:val="en-US" w:eastAsia="zh-CN"/>
        </w:rPr>
        <w:t>【政府采购合同专用条款】</w:t>
      </w:r>
      <w:r>
        <w:rPr>
          <w:rFonts w:ascii="宋体" w:hAnsi="宋体" w:eastAsia="宋体" w:cs="宋体"/>
          <w:lang w:val="en-US" w:eastAsia="zh-CN"/>
        </w:rPr>
        <w:t>约定的期限内对乙方履约提出任何异议或者向乙方作出任何说明的，</w:t>
      </w:r>
      <w:r>
        <w:rPr>
          <w:rFonts w:ascii="宋体" w:hAnsi="宋体" w:eastAsia="宋体" w:cs="Times New Roman"/>
          <w:lang w:val="en-US" w:eastAsia="zh-CN"/>
        </w:rPr>
        <w:t>视为验收通过。</w:t>
      </w:r>
    </w:p>
    <w:p w14:paraId="64681EAC">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hint="default" w:ascii="宋体" w:hAnsi="宋体" w:eastAsia="宋体" w:cs="Times New Roman"/>
          <w:lang w:val="en-US" w:eastAsia="zh-CN"/>
        </w:rPr>
        <w:t>4</w:t>
      </w:r>
      <w:r>
        <w:rPr>
          <w:rFonts w:ascii="宋体" w:hAnsi="宋体" w:eastAsia="宋体" w:cs="Times New Roman"/>
          <w:lang w:val="en-US" w:eastAsia="zh-CN"/>
        </w:rPr>
        <w:t>.</w:t>
      </w:r>
      <w:r>
        <w:rPr>
          <w:rFonts w:hint="default" w:ascii="宋体" w:hAnsi="宋体" w:eastAsia="宋体" w:cs="Times New Roman"/>
          <w:lang w:val="en-US" w:eastAsia="zh-CN"/>
        </w:rPr>
        <w:t xml:space="preserve">5 </w:t>
      </w:r>
      <w:r>
        <w:rPr>
          <w:rFonts w:ascii="宋体" w:hAnsi="宋体" w:eastAsia="宋体" w:cs="Times New Roman"/>
          <w:lang w:val="en-US" w:eastAsia="zh-CN"/>
        </w:rPr>
        <w:t>甲方应当根据合同约定及时向乙方支付合同价款</w:t>
      </w:r>
      <w:r>
        <w:rPr>
          <w:rFonts w:hint="default" w:ascii="宋体" w:hAnsi="宋体" w:eastAsia="宋体" w:cs="Times New Roman"/>
          <w:lang w:val="en-US" w:eastAsia="zh-CN"/>
        </w:rPr>
        <w:t>，不得以内部人员变更、履行内部付款流程等为由，拒绝或迟延支付。</w:t>
      </w:r>
    </w:p>
    <w:p w14:paraId="7C1CF039">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4.6</w:t>
      </w:r>
      <w:r>
        <w:rPr>
          <w:rFonts w:hint="default" w:ascii="宋体" w:hAnsi="宋体" w:eastAsia="宋体" w:cs="Times New Roman"/>
          <w:lang w:val="en-US" w:eastAsia="zh-CN"/>
        </w:rPr>
        <w:t xml:space="preserve"> </w:t>
      </w:r>
      <w:r>
        <w:rPr>
          <w:rFonts w:ascii="宋体" w:hAnsi="宋体" w:eastAsia="宋体" w:cs="Times New Roman"/>
          <w:lang w:val="en-US" w:eastAsia="zh-CN"/>
        </w:rPr>
        <w:t>国家法律法规规定及</w:t>
      </w:r>
      <w:r>
        <w:rPr>
          <w:rFonts w:ascii="宋体" w:hAnsi="宋体" w:eastAsia="宋体" w:cs="宋体"/>
          <w:b/>
          <w:bCs/>
          <w:lang w:val="en-US" w:eastAsia="zh-CN"/>
        </w:rPr>
        <w:t>【政府采购合同专用条款】</w:t>
      </w:r>
      <w:r>
        <w:rPr>
          <w:rFonts w:ascii="宋体" w:hAnsi="宋体" w:eastAsia="宋体" w:cs="Times New Roman"/>
          <w:lang w:val="en-US" w:eastAsia="zh-CN"/>
        </w:rPr>
        <w:t>约定应由甲方承担的其他义务和责任。</w:t>
      </w:r>
    </w:p>
    <w:p w14:paraId="33E8F0AA">
      <w:pPr>
        <w:widowControl w:val="0"/>
        <w:autoSpaceDE w:val="0"/>
        <w:autoSpaceDN w:val="0"/>
        <w:adjustRightInd w:val="0"/>
        <w:snapToGrid w:val="0"/>
        <w:spacing w:after="0" w:line="400" w:lineRule="exact"/>
        <w:jc w:val="left"/>
        <w:rPr>
          <w:rFonts w:ascii="宋体" w:hAnsi="宋体" w:eastAsia="宋体" w:cs="Times New Roman"/>
          <w:b/>
          <w:bCs/>
          <w:sz w:val="24"/>
          <w:szCs w:val="24"/>
          <w:lang w:val="en-US" w:eastAsia="zh-CN"/>
        </w:rPr>
      </w:pPr>
      <w:r>
        <w:rPr>
          <w:rFonts w:ascii="宋体" w:hAnsi="宋体" w:eastAsia="宋体" w:cs="Times New Roman"/>
          <w:b/>
          <w:bCs/>
          <w:sz w:val="24"/>
          <w:szCs w:val="24"/>
          <w:lang w:val="en-US" w:eastAsia="zh-CN"/>
        </w:rPr>
        <w:t>5. 乙方的权利和义务</w:t>
      </w:r>
    </w:p>
    <w:p w14:paraId="446BDEA3">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 xml:space="preserve">5.1 </w:t>
      </w:r>
      <w:r>
        <w:rPr>
          <w:rFonts w:hint="default" w:ascii="宋体" w:hAnsi="宋体" w:eastAsia="宋体" w:cs="Times New Roman"/>
          <w:lang w:val="en-US" w:eastAsia="zh-CN"/>
        </w:rPr>
        <w:t>签署合同后，乙方</w:t>
      </w:r>
      <w:r>
        <w:rPr>
          <w:rFonts w:ascii="宋体" w:hAnsi="宋体" w:eastAsia="宋体" w:cs="Times New Roman"/>
          <w:lang w:val="en-US" w:eastAsia="zh-CN"/>
        </w:rPr>
        <w:t>应</w:t>
      </w:r>
      <w:r>
        <w:rPr>
          <w:rFonts w:hint="default" w:ascii="宋体" w:hAnsi="宋体" w:eastAsia="宋体" w:cs="Times New Roman"/>
          <w:lang w:val="en-US" w:eastAsia="zh-CN"/>
        </w:rPr>
        <w:t>确定</w:t>
      </w:r>
      <w:r>
        <w:rPr>
          <w:rFonts w:ascii="宋体" w:hAnsi="宋体" w:eastAsia="宋体" w:cs="Times New Roman"/>
          <w:lang w:val="en-US" w:eastAsia="zh-CN"/>
        </w:rPr>
        <w:t>项目负责人（或项目联系人）</w:t>
      </w:r>
      <w:r>
        <w:rPr>
          <w:rFonts w:hint="default" w:ascii="宋体" w:hAnsi="宋体" w:eastAsia="宋体" w:cs="Times New Roman"/>
          <w:lang w:val="en-US" w:eastAsia="zh-CN"/>
        </w:rPr>
        <w:t>，负责与本合同有关的事务。</w:t>
      </w:r>
    </w:p>
    <w:p w14:paraId="1B50ABA8">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5.</w:t>
      </w:r>
      <w:r>
        <w:rPr>
          <w:rFonts w:hint="default" w:ascii="宋体" w:hAnsi="宋体" w:eastAsia="宋体" w:cs="Times New Roman"/>
          <w:lang w:val="en-US" w:eastAsia="zh-CN"/>
        </w:rPr>
        <w:t>2 乙方应按照合同要求</w:t>
      </w:r>
      <w:r>
        <w:rPr>
          <w:rFonts w:ascii="宋体" w:hAnsi="宋体" w:eastAsia="宋体" w:cs="Times New Roman"/>
          <w:lang w:val="en-US" w:eastAsia="zh-CN"/>
        </w:rPr>
        <w:t>履约</w:t>
      </w:r>
      <w:r>
        <w:rPr>
          <w:rFonts w:hint="default" w:ascii="宋体" w:hAnsi="宋体" w:eastAsia="宋体" w:cs="Times New Roman"/>
          <w:lang w:val="en-US" w:eastAsia="zh-CN"/>
        </w:rPr>
        <w:t>，充分合理安排，确保</w:t>
      </w:r>
      <w:r>
        <w:rPr>
          <w:rFonts w:ascii="宋体" w:hAnsi="宋体" w:eastAsia="宋体" w:cs="Times New Roman"/>
          <w:lang w:val="en-US" w:eastAsia="zh-CN"/>
        </w:rPr>
        <w:t>提供的货物及相关服务符合合同有关</w:t>
      </w:r>
      <w:r>
        <w:rPr>
          <w:rFonts w:hint="default" w:ascii="宋体" w:hAnsi="宋体" w:eastAsia="宋体" w:cs="Times New Roman"/>
          <w:lang w:val="en-US" w:eastAsia="zh-CN"/>
        </w:rPr>
        <w:t>要求</w:t>
      </w:r>
      <w:r>
        <w:rPr>
          <w:rFonts w:ascii="宋体" w:hAnsi="宋体" w:eastAsia="宋体" w:cs="Times New Roman"/>
          <w:lang w:val="en-US" w:eastAsia="zh-CN"/>
        </w:rPr>
        <w:t>。接受项目行业管理部门及政府有关部门的指导，配合甲方的履约检查及验收，并</w:t>
      </w:r>
      <w:r>
        <w:rPr>
          <w:rFonts w:hint="default" w:ascii="宋体" w:hAnsi="宋体" w:eastAsia="宋体" w:cs="Times New Roman"/>
          <w:lang w:val="en-US" w:eastAsia="zh-CN"/>
        </w:rPr>
        <w:t>负责项目实施过程中的所有协调工作。</w:t>
      </w:r>
    </w:p>
    <w:p w14:paraId="41F770A5">
      <w:pPr>
        <w:widowControl w:val="0"/>
        <w:spacing w:after="0" w:line="400" w:lineRule="exact"/>
        <w:ind w:firstLine="369" w:firstLineChars="176"/>
        <w:rPr>
          <w:rFonts w:ascii="宋体" w:hAnsi="宋体" w:eastAsia="宋体" w:cs="宋体"/>
          <w:lang w:val="en-US" w:eastAsia="zh-CN"/>
        </w:rPr>
      </w:pPr>
      <w:r>
        <w:rPr>
          <w:rFonts w:ascii="宋体" w:hAnsi="宋体" w:eastAsia="宋体" w:cs="Times New Roman"/>
          <w:lang w:val="en-US" w:eastAsia="zh-CN"/>
        </w:rPr>
        <w:t>5.</w:t>
      </w:r>
      <w:r>
        <w:rPr>
          <w:rFonts w:hint="default" w:ascii="宋体" w:hAnsi="宋体" w:eastAsia="宋体" w:cs="Times New Roman"/>
          <w:lang w:val="en-US" w:eastAsia="zh-CN"/>
        </w:rPr>
        <w:t>3</w:t>
      </w:r>
      <w:r>
        <w:rPr>
          <w:rFonts w:ascii="宋体" w:hAnsi="宋体" w:eastAsia="宋体" w:cs="Times New Roman"/>
          <w:lang w:val="en-US" w:eastAsia="zh-CN"/>
        </w:rPr>
        <w:t>乙方有权</w:t>
      </w:r>
      <w:r>
        <w:rPr>
          <w:rFonts w:ascii="宋体" w:hAnsi="宋体" w:eastAsia="宋体" w:cs="宋体"/>
          <w:lang w:val="en-US" w:eastAsia="zh-CN"/>
        </w:rPr>
        <w:t>根据合同约定向甲方收取合同价款。</w:t>
      </w:r>
    </w:p>
    <w:p w14:paraId="46E34AE6">
      <w:pPr>
        <w:widowControl w:val="0"/>
        <w:spacing w:after="0" w:line="400" w:lineRule="exact"/>
        <w:ind w:firstLine="369" w:firstLineChars="176"/>
        <w:rPr>
          <w:rFonts w:ascii="宋体" w:hAnsi="宋体" w:eastAsia="宋体" w:cs="宋体"/>
          <w:lang w:val="en-US" w:eastAsia="zh-CN"/>
        </w:rPr>
      </w:pPr>
      <w:r>
        <w:rPr>
          <w:rFonts w:ascii="宋体" w:hAnsi="宋体" w:eastAsia="宋体" w:cs="Times New Roman"/>
          <w:lang w:val="en-US" w:eastAsia="zh-CN"/>
        </w:rPr>
        <w:t>5.</w:t>
      </w:r>
      <w:r>
        <w:rPr>
          <w:rFonts w:hint="default" w:ascii="宋体" w:hAnsi="宋体" w:eastAsia="宋体" w:cs="Times New Roman"/>
          <w:lang w:val="en-US" w:eastAsia="zh-CN"/>
        </w:rPr>
        <w:t>4</w:t>
      </w:r>
      <w:r>
        <w:rPr>
          <w:rFonts w:ascii="宋体" w:hAnsi="宋体" w:eastAsia="宋体" w:cs="宋体"/>
          <w:lang w:val="en-US" w:eastAsia="zh-CN"/>
        </w:rPr>
        <w:t>国家法律法规规定</w:t>
      </w:r>
      <w:r>
        <w:rPr>
          <w:rFonts w:ascii="宋体" w:hAnsi="宋体" w:eastAsia="宋体" w:cs="Times New Roman"/>
          <w:lang w:val="en-US" w:eastAsia="zh-CN"/>
        </w:rPr>
        <w:t>及</w:t>
      </w:r>
      <w:r>
        <w:rPr>
          <w:rFonts w:ascii="宋体" w:hAnsi="宋体" w:eastAsia="宋体" w:cs="宋体"/>
          <w:b/>
          <w:bCs/>
          <w:lang w:val="en-US" w:eastAsia="zh-CN"/>
        </w:rPr>
        <w:t>【政府采购合同专用条款】</w:t>
      </w:r>
      <w:r>
        <w:rPr>
          <w:rFonts w:ascii="宋体" w:hAnsi="宋体" w:eastAsia="宋体" w:cs="宋体"/>
          <w:lang w:val="en-US" w:eastAsia="zh-CN"/>
        </w:rPr>
        <w:t>约定应由乙方承担的其他义务和责任。</w:t>
      </w:r>
    </w:p>
    <w:p w14:paraId="63A31DF6">
      <w:pPr>
        <w:widowControl w:val="0"/>
        <w:numPr>
          <w:ilvl w:val="0"/>
          <w:numId w:val="10"/>
        </w:numPr>
        <w:autoSpaceDE w:val="0"/>
        <w:autoSpaceDN w:val="0"/>
        <w:adjustRightInd w:val="0"/>
        <w:snapToGrid w:val="0"/>
        <w:spacing w:after="0" w:line="400" w:lineRule="exact"/>
        <w:jc w:val="left"/>
        <w:rPr>
          <w:rFonts w:ascii="宋体" w:hAnsi="宋体" w:eastAsia="宋体" w:cs="Times New Roman"/>
          <w:b/>
          <w:bCs/>
          <w:sz w:val="24"/>
          <w:szCs w:val="24"/>
          <w:lang w:val="en-US" w:eastAsia="zh-CN"/>
        </w:rPr>
      </w:pPr>
      <w:r>
        <w:rPr>
          <w:rFonts w:ascii="宋体" w:hAnsi="宋体" w:eastAsia="宋体" w:cs="Times New Roman"/>
          <w:b/>
          <w:bCs/>
          <w:sz w:val="24"/>
          <w:szCs w:val="24"/>
          <w:lang w:val="en-US" w:eastAsia="zh-CN"/>
        </w:rPr>
        <w:t>合同履行</w:t>
      </w:r>
    </w:p>
    <w:p w14:paraId="03A25FB1">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6.1 甲乙双方应当按照</w:t>
      </w:r>
      <w:r>
        <w:rPr>
          <w:rFonts w:ascii="宋体" w:hAnsi="宋体" w:eastAsia="宋体" w:cs="宋体"/>
          <w:b/>
          <w:bCs/>
          <w:lang w:val="en-US" w:eastAsia="zh-CN"/>
        </w:rPr>
        <w:t>【政府采购合同专用条款】</w:t>
      </w:r>
      <w:r>
        <w:rPr>
          <w:rFonts w:ascii="宋体" w:hAnsi="宋体" w:eastAsia="宋体" w:cs="Times New Roman"/>
          <w:lang w:val="en-US" w:eastAsia="zh-CN"/>
        </w:rPr>
        <w:t>约定顺序履行合同义务；如果没有先后顺序的，应当同时履行。</w:t>
      </w:r>
    </w:p>
    <w:p w14:paraId="0CE4A24D">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szCs w:val="24"/>
          <w:lang w:val="en-US" w:eastAsia="zh-CN"/>
        </w:rPr>
      </w:pPr>
      <w:r>
        <w:rPr>
          <w:rFonts w:ascii="宋体" w:hAnsi="宋体" w:eastAsia="宋体" w:cs="Times New Roman"/>
          <w:lang w:val="en-US" w:eastAsia="zh-CN"/>
        </w:rPr>
        <w:t>6.2 甲乙双方按照合同约定顺序履行合同义务时，应当先履行一方未履行的，后履行一方有权拒绝其履行请求。先履行一方履行不符合约定的，后履行一方有权拒绝其相应的履行请求。</w:t>
      </w:r>
    </w:p>
    <w:p w14:paraId="738F2A73">
      <w:pPr>
        <w:widowControl w:val="0"/>
        <w:adjustRightInd w:val="0"/>
        <w:snapToGrid w:val="0"/>
        <w:spacing w:after="0" w:line="400" w:lineRule="exact"/>
        <w:jc w:val="left"/>
        <w:rPr>
          <w:rFonts w:ascii="宋体" w:hAnsi="宋体" w:eastAsia="宋体" w:cs="Times New Roman"/>
          <w:b/>
          <w:bCs/>
          <w:sz w:val="24"/>
          <w:szCs w:val="24"/>
          <w:lang w:val="en-US" w:eastAsia="zh-CN"/>
        </w:rPr>
      </w:pPr>
      <w:r>
        <w:rPr>
          <w:rFonts w:ascii="宋体" w:hAnsi="宋体" w:eastAsia="宋体" w:cs="Times New Roman"/>
          <w:b/>
          <w:bCs/>
          <w:sz w:val="24"/>
          <w:szCs w:val="24"/>
          <w:lang w:val="en-US" w:eastAsia="zh-CN"/>
        </w:rPr>
        <w:t>7. 货物包装、运输、保险和交付要求</w:t>
      </w:r>
    </w:p>
    <w:p w14:paraId="53403FE4">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7.1 本合同</w:t>
      </w:r>
      <w:r>
        <w:rPr>
          <w:rFonts w:ascii="宋体" w:hAnsi="宋体" w:eastAsia="宋体" w:cs="Times New Roman"/>
          <w:bCs/>
          <w:lang w:val="en-US" w:eastAsia="zh-CN"/>
        </w:rPr>
        <w:t>涉及商品包装、快递包装的，</w:t>
      </w:r>
      <w:r>
        <w:rPr>
          <w:rFonts w:ascii="宋体" w:hAnsi="宋体" w:eastAsia="宋体" w:cs="Times New Roman"/>
          <w:lang w:val="en-US" w:eastAsia="zh-CN"/>
        </w:rPr>
        <w:t>除</w:t>
      </w:r>
      <w:r>
        <w:rPr>
          <w:rFonts w:ascii="宋体" w:hAnsi="宋体" w:eastAsia="宋体" w:cs="Times New Roman"/>
          <w:b/>
          <w:lang w:val="en-US" w:eastAsia="zh-CN"/>
        </w:rPr>
        <w:t>【政府采购合同专用条款】</w:t>
      </w:r>
      <w:r>
        <w:rPr>
          <w:rFonts w:ascii="宋体" w:hAnsi="宋体" w:eastAsia="宋体" w:cs="Times New Roman"/>
          <w:bCs/>
          <w:lang w:val="en-US" w:eastAsia="zh-CN"/>
        </w:rPr>
        <w:t>另有约定外，</w:t>
      </w:r>
      <w:r>
        <w:rPr>
          <w:rFonts w:ascii="宋体" w:hAnsi="宋体" w:eastAsia="宋体" w:cs="Times New Roman"/>
          <w:lang w:val="en-US" w:eastAsia="zh-CN"/>
        </w:rPr>
        <w:t>包装应适应远距离运输、防潮、防震、防锈和防野蛮装卸等要求，确保货物安全无损地运抵</w:t>
      </w:r>
      <w:r>
        <w:rPr>
          <w:rFonts w:ascii="宋体" w:hAnsi="宋体" w:eastAsia="宋体" w:cs="Times New Roman"/>
          <w:b/>
          <w:lang w:val="en-US" w:eastAsia="zh-CN"/>
        </w:rPr>
        <w:t>【政府采购合同专用条款】</w:t>
      </w:r>
      <w:r>
        <w:rPr>
          <w:rFonts w:ascii="宋体" w:hAnsi="宋体" w:eastAsia="宋体" w:cs="Times New Roman"/>
          <w:bCs/>
          <w:lang w:val="en-US" w:eastAsia="zh-CN"/>
        </w:rPr>
        <w:t>约定的</w:t>
      </w:r>
      <w:r>
        <w:rPr>
          <w:rFonts w:ascii="宋体" w:hAnsi="宋体" w:eastAsia="宋体" w:cs="Times New Roman"/>
          <w:lang w:val="en-US" w:eastAsia="zh-CN"/>
        </w:rPr>
        <w:t>指定现场。</w:t>
      </w:r>
    </w:p>
    <w:p w14:paraId="5A11CD10">
      <w:pPr>
        <w:widowControl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7.2 除</w:t>
      </w:r>
      <w:r>
        <w:rPr>
          <w:rFonts w:ascii="宋体" w:hAnsi="宋体" w:eastAsia="宋体" w:cs="Times New Roman"/>
          <w:b/>
          <w:lang w:val="en-US" w:eastAsia="zh-CN"/>
        </w:rPr>
        <w:t>【政府采购合同专用条款】</w:t>
      </w:r>
      <w:r>
        <w:rPr>
          <w:rFonts w:ascii="宋体" w:hAnsi="宋体" w:eastAsia="宋体" w:cs="Times New Roman"/>
          <w:bCs/>
          <w:lang w:val="en-US" w:eastAsia="zh-CN"/>
        </w:rPr>
        <w:t>另有约定外，</w:t>
      </w:r>
      <w:r>
        <w:rPr>
          <w:rFonts w:ascii="宋体" w:hAnsi="宋体" w:eastAsia="宋体" w:cs="Times New Roman"/>
          <w:lang w:val="en-US" w:eastAsia="zh-CN"/>
        </w:rPr>
        <w:t>乙方负责办理将货物运抵本合同规定的交货地点，并装卸、交付至甲方的一切运输事项，相关费用应包含在合同价款中。</w:t>
      </w:r>
    </w:p>
    <w:p w14:paraId="35D1A07E">
      <w:pPr>
        <w:widowControl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7.3 货物保险要求按</w:t>
      </w:r>
      <w:r>
        <w:rPr>
          <w:rFonts w:ascii="宋体" w:hAnsi="宋体" w:eastAsia="宋体" w:cs="Times New Roman"/>
          <w:b/>
          <w:lang w:val="en-US" w:eastAsia="zh-CN"/>
        </w:rPr>
        <w:t>【政府采购合同专用条款】</w:t>
      </w:r>
      <w:r>
        <w:rPr>
          <w:rFonts w:ascii="宋体" w:hAnsi="宋体" w:eastAsia="宋体" w:cs="Times New Roman"/>
          <w:bCs/>
          <w:lang w:val="en-US" w:eastAsia="zh-CN"/>
        </w:rPr>
        <w:t>规定执行</w:t>
      </w:r>
      <w:r>
        <w:rPr>
          <w:rFonts w:ascii="宋体" w:hAnsi="宋体" w:eastAsia="宋体" w:cs="Times New Roman"/>
          <w:lang w:val="en-US" w:eastAsia="zh-CN"/>
        </w:rPr>
        <w:t>。</w:t>
      </w:r>
    </w:p>
    <w:p w14:paraId="62D278EF">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9259DD0">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 xml:space="preserve">7.5 </w:t>
      </w:r>
      <w:r>
        <w:rPr>
          <w:rFonts w:ascii="宋体" w:hAnsi="宋体" w:eastAsia="宋体" w:cs="宋体"/>
          <w:lang w:val="en-US" w:eastAsia="zh-CN"/>
        </w:rPr>
        <w:t>乙方在运输到达之前应提前通知甲方，并提示货物运输装卸的注意事项，甲方配合乙方做好货物的接收工作。</w:t>
      </w:r>
    </w:p>
    <w:p w14:paraId="159389D7">
      <w:pPr>
        <w:widowControl w:val="0"/>
        <w:autoSpaceDE w:val="0"/>
        <w:autoSpaceDN w:val="0"/>
        <w:adjustRightInd w:val="0"/>
        <w:spacing w:after="0" w:line="400" w:lineRule="exact"/>
        <w:ind w:firstLine="420" w:firstLineChars="200"/>
        <w:rPr>
          <w:rFonts w:ascii="华文楷体" w:hAnsi="华文楷体" w:eastAsia="华文楷体" w:cs="华文楷体"/>
          <w:lang w:val="en-US" w:eastAsia="zh-CN"/>
        </w:rPr>
      </w:pPr>
      <w:r>
        <w:rPr>
          <w:rFonts w:ascii="宋体" w:hAnsi="宋体" w:eastAsia="宋体" w:cs="Times New Roman"/>
          <w:lang w:val="en-US" w:eastAsia="zh-CN"/>
        </w:rPr>
        <w:t>7.6 如因包装、运输问题导致货物损毁、丢失或者品质下降，甲方有权要求降价、换货、拒收部分或整批货物，由此产生的费用和损失，均由乙方承担。</w:t>
      </w:r>
    </w:p>
    <w:p w14:paraId="5D762BA0">
      <w:pPr>
        <w:widowControl w:val="0"/>
        <w:adjustRightInd w:val="0"/>
        <w:snapToGrid w:val="0"/>
        <w:spacing w:after="0" w:line="400" w:lineRule="exact"/>
        <w:jc w:val="left"/>
        <w:rPr>
          <w:rFonts w:ascii="宋体" w:hAnsi="宋体" w:eastAsia="宋体" w:cs="Times New Roman"/>
          <w:b/>
          <w:sz w:val="24"/>
          <w:szCs w:val="24"/>
          <w:lang w:val="en-US" w:eastAsia="zh-CN"/>
        </w:rPr>
      </w:pPr>
      <w:r>
        <w:rPr>
          <w:rFonts w:ascii="宋体" w:hAnsi="宋体" w:eastAsia="宋体" w:cs="Times New Roman"/>
          <w:b/>
          <w:sz w:val="24"/>
          <w:szCs w:val="24"/>
          <w:lang w:val="en-US" w:eastAsia="zh-CN"/>
        </w:rPr>
        <w:t>8. 质量标准和保证</w:t>
      </w:r>
    </w:p>
    <w:p w14:paraId="7D02430E">
      <w:pPr>
        <w:widowControl w:val="0"/>
        <w:adjustRightInd w:val="0"/>
        <w:snapToGrid w:val="0"/>
        <w:spacing w:after="0" w:line="400" w:lineRule="exact"/>
        <w:ind w:firstLine="420" w:firstLineChars="200"/>
        <w:jc w:val="left"/>
        <w:rPr>
          <w:rFonts w:ascii="宋体" w:hAnsi="宋体" w:eastAsia="宋体" w:cs="Courier New"/>
          <w:b/>
          <w:lang w:val="en-US" w:eastAsia="zh-CN"/>
        </w:rPr>
      </w:pPr>
      <w:r>
        <w:rPr>
          <w:rFonts w:ascii="宋体" w:hAnsi="宋体" w:eastAsia="宋体" w:cs="Courier New"/>
          <w:lang w:val="en-US" w:eastAsia="zh-CN"/>
        </w:rPr>
        <w:t>8.1 质量标准</w:t>
      </w:r>
    </w:p>
    <w:p w14:paraId="4D64F588">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（1）本合同下提供的货物应符合合同</w:t>
      </w:r>
      <w:r>
        <w:rPr>
          <w:rFonts w:ascii="宋体" w:hAnsi="宋体" w:eastAsia="宋体" w:cs="宋体"/>
          <w:lang w:val="en-US" w:eastAsia="zh-CN"/>
        </w:rPr>
        <w:t>约定的品牌、规格型号、技术性能、配置、质量、数量等要求。</w:t>
      </w:r>
      <w:r>
        <w:rPr>
          <w:rFonts w:ascii="宋体" w:hAnsi="宋体" w:eastAsia="宋体" w:cs="Times New Roman"/>
          <w:lang w:val="en-US" w:eastAsia="zh-CN"/>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D143AB4">
      <w:pPr>
        <w:widowControl w:val="0"/>
        <w:adjustRightInd w:val="0"/>
        <w:snapToGrid w:val="0"/>
        <w:spacing w:after="0" w:line="400" w:lineRule="exact"/>
        <w:ind w:firstLine="420" w:firstLineChars="200"/>
        <w:jc w:val="left"/>
        <w:rPr>
          <w:rFonts w:ascii="宋体" w:hAnsi="宋体" w:eastAsia="宋体" w:cs="Courier New"/>
          <w:lang w:val="en-US" w:eastAsia="zh-CN"/>
        </w:rPr>
      </w:pPr>
      <w:r>
        <w:rPr>
          <w:rFonts w:ascii="宋体" w:hAnsi="宋体" w:eastAsia="宋体" w:cs="Courier New"/>
          <w:lang w:val="en-US" w:eastAsia="zh-CN"/>
        </w:rPr>
        <w:t>（2）采用中华人民共和国法定计量单位。</w:t>
      </w:r>
    </w:p>
    <w:p w14:paraId="77AA18C9">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（3）乙方所提供的货物应符合国家有关安全、环保、卫生的规定。</w:t>
      </w:r>
    </w:p>
    <w:p w14:paraId="02F74456">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（4）乙方应向甲方提交所提供货物的技术文件，包括相应的中文技术文件，如：产品目录、图纸、操作手册、使用说明、维护手册或服务指南等。上述文件应包装好随货物一同发运。</w:t>
      </w:r>
    </w:p>
    <w:p w14:paraId="641B61F3">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8.2 保证</w:t>
      </w:r>
    </w:p>
    <w:p w14:paraId="5CA25CFD">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（1）乙方应保证提供的货物完全符合合同规定的质量、规格和性能要求。乙方应保证货物在正确安装、正常使用和保养条件下，</w:t>
      </w:r>
      <w:r>
        <w:rPr>
          <w:rFonts w:ascii="宋体" w:hAnsi="宋体" w:eastAsia="宋体" w:cs="宋体"/>
          <w:lang w:val="en-US" w:eastAsia="zh-CN"/>
        </w:rPr>
        <w:t>在其使用寿命期内具备合同约定的性能</w:t>
      </w:r>
      <w:r>
        <w:rPr>
          <w:rFonts w:ascii="宋体" w:hAnsi="宋体" w:eastAsia="宋体" w:cs="Times New Roman"/>
          <w:lang w:val="en-US" w:eastAsia="zh-CN"/>
        </w:rPr>
        <w:t>。存在质量保证期的，货物最终交付验收合格后在</w:t>
      </w:r>
      <w:r>
        <w:rPr>
          <w:rFonts w:ascii="宋体" w:hAnsi="宋体" w:eastAsia="宋体" w:cs="Times New Roman"/>
          <w:b/>
          <w:lang w:val="en-US" w:eastAsia="zh-CN"/>
        </w:rPr>
        <w:t>【政府采购合同专用条款】</w:t>
      </w:r>
      <w:r>
        <w:rPr>
          <w:rFonts w:ascii="宋体" w:hAnsi="宋体" w:eastAsia="宋体" w:cs="Times New Roman"/>
          <w:lang w:val="en-US" w:eastAsia="zh-CN"/>
        </w:rPr>
        <w:t>规定或乙方书面承诺（两者以较长的为准）的质量保证期内，本保证保持有效。</w:t>
      </w:r>
    </w:p>
    <w:p w14:paraId="57F719B4">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（2）在质量保证期内所发现的缺陷，甲方应尽快以书面形式通知乙方。</w:t>
      </w:r>
    </w:p>
    <w:p w14:paraId="2E0C9183">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（3）乙方收到通知后，应在</w:t>
      </w:r>
      <w:r>
        <w:rPr>
          <w:rFonts w:ascii="宋体" w:hAnsi="宋体" w:eastAsia="宋体" w:cs="Times New Roman"/>
          <w:b/>
          <w:lang w:val="en-US" w:eastAsia="zh-CN"/>
        </w:rPr>
        <w:t>【政府采购合同专用条款】</w:t>
      </w:r>
      <w:r>
        <w:rPr>
          <w:rFonts w:ascii="宋体" w:hAnsi="宋体" w:eastAsia="宋体" w:cs="Times New Roman"/>
          <w:lang w:val="en-US" w:eastAsia="zh-CN"/>
        </w:rPr>
        <w:t>规定的响应时间内以合理的速度免费维修或更换有缺陷的货物或部件。</w:t>
      </w:r>
    </w:p>
    <w:p w14:paraId="10280C59">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（4）在质量保证期内，如果货物的质量或规格与合同不符，或证实货物是有缺陷的，包括潜在的缺陷或使用不符合要求的材料等，甲方可以根据本合同第15.1条规定以书面形式追究乙方的违约责任。</w:t>
      </w:r>
    </w:p>
    <w:p w14:paraId="31B6E981">
      <w:pPr>
        <w:widowControl w:val="0"/>
        <w:adjustRightInd w:val="0"/>
        <w:snapToGrid w:val="0"/>
        <w:spacing w:after="0" w:line="400" w:lineRule="exact"/>
        <w:ind w:firstLine="420" w:firstLineChars="200"/>
        <w:jc w:val="left"/>
        <w:rPr>
          <w:rFonts w:hint="default" w:ascii="Times New Roman" w:hAnsi="Times New Roman" w:eastAsia="宋体" w:cs="Times New Roman"/>
          <w:szCs w:val="24"/>
          <w:lang w:val="en-US" w:eastAsia="zh-CN"/>
        </w:rPr>
      </w:pPr>
      <w:r>
        <w:rPr>
          <w:rFonts w:ascii="宋体" w:hAnsi="宋体" w:eastAsia="宋体" w:cs="Times New Roman"/>
          <w:lang w:val="en-US" w:eastAsia="zh-CN"/>
        </w:rPr>
        <w:t>（5）乙方在约定的时间内未能弥补缺陷，甲方可采取必要的补救措施，但其风险和费用将由乙方承担，甲方根据合同约定对乙方行使的其他权利不受影响。</w:t>
      </w:r>
    </w:p>
    <w:p w14:paraId="164157E4">
      <w:pPr>
        <w:widowControl w:val="0"/>
        <w:adjustRightInd w:val="0"/>
        <w:snapToGrid w:val="0"/>
        <w:spacing w:after="0" w:line="400" w:lineRule="exact"/>
        <w:jc w:val="left"/>
        <w:rPr>
          <w:rFonts w:ascii="宋体" w:hAnsi="宋体" w:eastAsia="宋体" w:cs="Times New Roman"/>
          <w:b/>
          <w:bCs/>
          <w:sz w:val="24"/>
          <w:szCs w:val="24"/>
          <w:lang w:val="en-US" w:eastAsia="zh-CN"/>
        </w:rPr>
      </w:pPr>
      <w:r>
        <w:rPr>
          <w:rFonts w:ascii="宋体" w:hAnsi="宋体" w:eastAsia="宋体" w:cs="Times New Roman"/>
          <w:b/>
          <w:bCs/>
          <w:sz w:val="24"/>
          <w:szCs w:val="24"/>
          <w:lang w:val="en-US" w:eastAsia="zh-CN"/>
        </w:rPr>
        <w:t>9. 权利瑕疵担保</w:t>
      </w:r>
    </w:p>
    <w:p w14:paraId="12A6A27A">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9.1 乙方保证对其出售的货物享有合法的权利。</w:t>
      </w:r>
    </w:p>
    <w:p w14:paraId="70A5E3B8">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 xml:space="preserve">9.2 </w:t>
      </w:r>
      <w:r>
        <w:rPr>
          <w:rFonts w:ascii="宋体" w:hAnsi="宋体" w:eastAsia="宋体" w:cs="宋体"/>
          <w:szCs w:val="15"/>
          <w:lang w:val="en-US" w:eastAsia="zh-CN"/>
        </w:rPr>
        <w:t>乙方保证在交付的货物上不存在抵押权等担保物权。</w:t>
      </w:r>
    </w:p>
    <w:p w14:paraId="5FCB7B42">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9.3 如甲方使用上述货物构成对第三人侵权的，则由乙方承担全部责任。</w:t>
      </w:r>
    </w:p>
    <w:p w14:paraId="661495FB">
      <w:pPr>
        <w:widowControl w:val="0"/>
        <w:autoSpaceDE w:val="0"/>
        <w:autoSpaceDN w:val="0"/>
        <w:adjustRightInd w:val="0"/>
        <w:snapToGrid w:val="0"/>
        <w:spacing w:after="0" w:line="400" w:lineRule="exact"/>
        <w:jc w:val="left"/>
        <w:rPr>
          <w:rFonts w:ascii="宋体" w:hAnsi="宋体" w:eastAsia="宋体" w:cs="Times New Roman"/>
          <w:b/>
          <w:bCs/>
          <w:sz w:val="24"/>
          <w:szCs w:val="24"/>
          <w:lang w:val="en-US" w:eastAsia="zh-CN"/>
        </w:rPr>
      </w:pPr>
      <w:r>
        <w:rPr>
          <w:rFonts w:ascii="宋体" w:hAnsi="宋体" w:eastAsia="宋体" w:cs="Times New Roman"/>
          <w:b/>
          <w:bCs/>
          <w:sz w:val="24"/>
          <w:szCs w:val="24"/>
          <w:lang w:val="en-US" w:eastAsia="zh-CN"/>
        </w:rPr>
        <w:t>10. 知识产权保护</w:t>
      </w:r>
    </w:p>
    <w:p w14:paraId="1D4488C4">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10.1 乙方对其所销售的货物应当享有知识产权或经权利人合法授权，保证没有侵犯任何第三人的知识产权等权利。</w:t>
      </w:r>
      <w:r>
        <w:rPr>
          <w:rFonts w:ascii="宋体" w:hAnsi="宋体" w:eastAsia="宋体" w:cs="宋体"/>
          <w:szCs w:val="15"/>
          <w:lang w:val="en-US" w:eastAsia="zh-CN"/>
        </w:rPr>
        <w:t>因违反前述约定对第三人构成侵权的，应当由乙方向第三人承担法律责任；甲方依法向第三人赔偿后，有权向乙方追偿。甲方有其他损失的，乙方应当赔偿</w:t>
      </w:r>
      <w:r>
        <w:rPr>
          <w:rFonts w:ascii="宋体" w:hAnsi="宋体" w:eastAsia="宋体" w:cs="Times New Roman"/>
          <w:lang w:val="en-US" w:eastAsia="zh-CN"/>
        </w:rPr>
        <w:t>。</w:t>
      </w:r>
    </w:p>
    <w:p w14:paraId="225D6D0B">
      <w:pPr>
        <w:widowControl w:val="0"/>
        <w:autoSpaceDE w:val="0"/>
        <w:autoSpaceDN w:val="0"/>
        <w:adjustRightInd w:val="0"/>
        <w:snapToGrid w:val="0"/>
        <w:spacing w:after="0" w:line="400" w:lineRule="exact"/>
        <w:jc w:val="left"/>
        <w:rPr>
          <w:rFonts w:ascii="宋体" w:hAnsi="宋体" w:eastAsia="宋体" w:cs="Times New Roman"/>
          <w:b/>
          <w:bCs/>
          <w:sz w:val="24"/>
          <w:szCs w:val="24"/>
          <w:lang w:val="en-US" w:eastAsia="zh-CN"/>
        </w:rPr>
      </w:pPr>
      <w:r>
        <w:rPr>
          <w:rFonts w:ascii="宋体" w:hAnsi="宋体" w:eastAsia="宋体" w:cs="Times New Roman"/>
          <w:b/>
          <w:bCs/>
          <w:sz w:val="24"/>
          <w:szCs w:val="24"/>
          <w:lang w:val="en-US" w:eastAsia="zh-CN"/>
        </w:rPr>
        <w:t>11. 保密义务</w:t>
      </w:r>
    </w:p>
    <w:p w14:paraId="4041B494">
      <w:pPr>
        <w:widowControl w:val="0"/>
        <w:autoSpaceDE w:val="0"/>
        <w:autoSpaceDN w:val="0"/>
        <w:adjustRightInd w:val="0"/>
        <w:snapToGrid w:val="0"/>
        <w:spacing w:after="0" w:line="400" w:lineRule="exact"/>
        <w:ind w:firstLine="420" w:firstLineChars="200"/>
        <w:jc w:val="left"/>
        <w:rPr>
          <w:rFonts w:ascii="宋体" w:hAnsi="宋体" w:eastAsia="宋体" w:cs="宋体"/>
          <w:szCs w:val="15"/>
          <w:lang w:val="en-US" w:eastAsia="zh-CN"/>
        </w:rPr>
      </w:pPr>
      <w:r>
        <w:rPr>
          <w:rFonts w:ascii="宋体" w:hAnsi="宋体" w:eastAsia="宋体" w:cs="宋体"/>
          <w:szCs w:val="15"/>
          <w:lang w:val="en-US" w:eastAsia="zh-CN"/>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ascii="宋体" w:hAnsi="宋体" w:eastAsia="宋体" w:cs="宋体"/>
          <w:b/>
          <w:bCs/>
          <w:szCs w:val="15"/>
          <w:lang w:val="en-US" w:eastAsia="zh-CN"/>
        </w:rPr>
        <w:t>【政府采购合同专用条款】</w:t>
      </w:r>
      <w:r>
        <w:rPr>
          <w:rFonts w:ascii="宋体" w:hAnsi="宋体" w:eastAsia="宋体" w:cs="宋体"/>
          <w:szCs w:val="15"/>
          <w:lang w:val="en-US" w:eastAsia="zh-CN"/>
        </w:rPr>
        <w:t>中约定。</w:t>
      </w:r>
    </w:p>
    <w:p w14:paraId="373F4D3C">
      <w:pPr>
        <w:widowControl w:val="0"/>
        <w:autoSpaceDE w:val="0"/>
        <w:autoSpaceDN w:val="0"/>
        <w:adjustRightInd w:val="0"/>
        <w:snapToGrid w:val="0"/>
        <w:spacing w:after="0" w:line="400" w:lineRule="exact"/>
        <w:jc w:val="left"/>
        <w:rPr>
          <w:rFonts w:ascii="宋体" w:hAnsi="宋体" w:eastAsia="宋体" w:cs="Times New Roman"/>
          <w:b/>
          <w:bCs/>
          <w:sz w:val="24"/>
          <w:szCs w:val="24"/>
          <w:lang w:val="en-US" w:eastAsia="zh-CN"/>
        </w:rPr>
      </w:pPr>
      <w:r>
        <w:rPr>
          <w:rFonts w:ascii="宋体" w:hAnsi="宋体" w:eastAsia="宋体" w:cs="Times New Roman"/>
          <w:b/>
          <w:bCs/>
          <w:sz w:val="24"/>
          <w:szCs w:val="24"/>
          <w:lang w:val="en-US" w:eastAsia="zh-CN"/>
        </w:rPr>
        <w:t>12. 合同价款支付</w:t>
      </w:r>
    </w:p>
    <w:p w14:paraId="30FDA86A">
      <w:pPr>
        <w:widowControl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12.1 合同价款支付按照国库集中支付制度及财政管理相关规定执行。</w:t>
      </w:r>
    </w:p>
    <w:p w14:paraId="68F2BCDD">
      <w:pPr>
        <w:keepNext/>
        <w:keepLines/>
        <w:widowControl w:val="0"/>
        <w:spacing w:after="0" w:line="400" w:lineRule="exact"/>
        <w:ind w:firstLine="420" w:firstLineChars="200"/>
        <w:rPr>
          <w:rFonts w:hint="default" w:ascii="Arial" w:hAnsi="Arial" w:eastAsia="宋体" w:cs="Times New Roman"/>
          <w:b/>
          <w:bCs/>
          <w:sz w:val="24"/>
          <w:szCs w:val="32"/>
          <w:lang w:val="en-US" w:eastAsia="zh-CN"/>
        </w:rPr>
      </w:pPr>
      <w:r>
        <w:rPr>
          <w:rFonts w:ascii="宋体" w:hAnsi="宋体" w:eastAsia="宋体" w:cs="Times New Roman"/>
          <w:lang w:val="en-US" w:eastAsia="zh-CN"/>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ascii="宋体" w:hAnsi="宋体" w:eastAsia="宋体" w:cs="Times New Roman"/>
          <w:b/>
          <w:bCs/>
          <w:lang w:val="en-US" w:eastAsia="zh-CN"/>
        </w:rPr>
        <w:t>政府采购合同专用条款</w:t>
      </w:r>
      <w:r>
        <w:rPr>
          <w:rFonts w:ascii="宋体" w:hAnsi="宋体" w:eastAsia="宋体" w:cs="Times New Roman"/>
          <w:lang w:val="en-US" w:eastAsia="zh-CN"/>
        </w:rPr>
        <w:t>】中约定。</w:t>
      </w:r>
    </w:p>
    <w:p w14:paraId="661EAF31">
      <w:pPr>
        <w:widowControl w:val="0"/>
        <w:spacing w:after="0" w:line="400" w:lineRule="exact"/>
        <w:rPr>
          <w:rFonts w:ascii="宋体" w:hAnsi="宋体" w:eastAsia="宋体" w:cs="Times New Roman"/>
          <w:b/>
          <w:bCs/>
          <w:sz w:val="24"/>
          <w:szCs w:val="24"/>
          <w:lang w:val="en-US" w:eastAsia="zh-CN"/>
        </w:rPr>
      </w:pPr>
      <w:r>
        <w:rPr>
          <w:rFonts w:ascii="宋体" w:hAnsi="宋体" w:eastAsia="宋体" w:cs="Times New Roman"/>
          <w:b/>
          <w:bCs/>
          <w:sz w:val="24"/>
          <w:szCs w:val="24"/>
          <w:lang w:val="en-US" w:eastAsia="zh-CN"/>
        </w:rPr>
        <w:t>13. 履约保证金</w:t>
      </w:r>
    </w:p>
    <w:p w14:paraId="03555E83">
      <w:pPr>
        <w:widowControl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 xml:space="preserve">13.1 </w:t>
      </w:r>
      <w:r>
        <w:rPr>
          <w:rFonts w:ascii="宋体" w:hAnsi="宋体" w:eastAsia="宋体" w:cs="宋体"/>
          <w:szCs w:val="15"/>
          <w:lang w:val="en-US" w:eastAsia="zh-CN"/>
        </w:rPr>
        <w:t>乙方应当以支票、汇票、本票或者金融机构、担保机构出具的保函等非现金形式提交。</w:t>
      </w:r>
    </w:p>
    <w:p w14:paraId="7D238C5C">
      <w:pPr>
        <w:widowControl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13.2 如果乙方出现</w:t>
      </w:r>
      <w:r>
        <w:rPr>
          <w:rFonts w:ascii="宋体" w:hAnsi="宋体" w:eastAsia="宋体" w:cs="宋体"/>
          <w:b/>
          <w:bCs/>
          <w:szCs w:val="15"/>
          <w:lang w:val="en-US" w:eastAsia="zh-CN"/>
        </w:rPr>
        <w:t>【政府采购合同专用条款】</w:t>
      </w:r>
      <w:r>
        <w:rPr>
          <w:rFonts w:ascii="宋体" w:hAnsi="宋体" w:eastAsia="宋体" w:cs="宋体"/>
          <w:szCs w:val="15"/>
          <w:lang w:val="en-US" w:eastAsia="zh-CN"/>
        </w:rPr>
        <w:t>约定情形的</w:t>
      </w:r>
      <w:r>
        <w:rPr>
          <w:rFonts w:ascii="宋体" w:hAnsi="宋体" w:eastAsia="宋体" w:cs="Times New Roman"/>
          <w:lang w:val="en-US" w:eastAsia="zh-CN"/>
        </w:rPr>
        <w:t>，履约保证金不予退还；如果乙方未能按合同约定全面履行义务，甲方有权从履约保证金中取得补偿或赔偿，且不影响甲方要求乙方承担合同约定的超过履约保证金的违约责任的权利。</w:t>
      </w:r>
    </w:p>
    <w:p w14:paraId="0C978837">
      <w:pPr>
        <w:widowControl w:val="0"/>
        <w:spacing w:after="0" w:line="400" w:lineRule="exact"/>
        <w:ind w:firstLine="420"/>
        <w:rPr>
          <w:rFonts w:hint="default" w:ascii="Times New Roman" w:hAnsi="Times New Roman" w:eastAsia="宋体" w:cs="Times New Roman"/>
          <w:szCs w:val="24"/>
          <w:lang w:val="en-US" w:eastAsia="zh-CN"/>
        </w:rPr>
      </w:pPr>
      <w:r>
        <w:rPr>
          <w:rFonts w:ascii="宋体" w:hAnsi="宋体" w:eastAsia="宋体" w:cs="Times New Roman"/>
          <w:lang w:val="en-US" w:eastAsia="zh-CN"/>
        </w:rPr>
        <w:t>13.3 甲方在项目通过验收后按照</w:t>
      </w:r>
      <w:r>
        <w:rPr>
          <w:rFonts w:ascii="宋体" w:hAnsi="宋体" w:eastAsia="宋体" w:cs="Times New Roman"/>
          <w:b/>
          <w:lang w:val="en-US" w:eastAsia="zh-CN"/>
        </w:rPr>
        <w:t>【政府采购合同专用条款】</w:t>
      </w:r>
      <w:r>
        <w:rPr>
          <w:rFonts w:ascii="宋体" w:hAnsi="宋体" w:eastAsia="宋体" w:cs="Times New Roman"/>
          <w:lang w:val="en-US" w:eastAsia="zh-CN"/>
        </w:rPr>
        <w:t>规定的时间内将履约保证金退还乙方；逾期退还的，乙方可要求甲方支付违约金，违约金按照</w:t>
      </w:r>
      <w:r>
        <w:rPr>
          <w:rFonts w:ascii="宋体" w:hAnsi="宋体" w:eastAsia="宋体" w:cs="Times New Roman"/>
          <w:b/>
          <w:lang w:val="en-US" w:eastAsia="zh-CN"/>
        </w:rPr>
        <w:t>【政府采购合同专用条款】</w:t>
      </w:r>
      <w:r>
        <w:rPr>
          <w:rFonts w:ascii="宋体" w:hAnsi="宋体" w:eastAsia="宋体" w:cs="Times New Roman"/>
          <w:lang w:val="en-US" w:eastAsia="zh-CN"/>
        </w:rPr>
        <w:t>规定支付。</w:t>
      </w:r>
    </w:p>
    <w:p w14:paraId="54AC19EC">
      <w:pPr>
        <w:widowControl w:val="0"/>
        <w:autoSpaceDE w:val="0"/>
        <w:autoSpaceDN w:val="0"/>
        <w:adjustRightInd w:val="0"/>
        <w:snapToGrid w:val="0"/>
        <w:spacing w:after="0" w:line="400" w:lineRule="exact"/>
        <w:jc w:val="left"/>
        <w:rPr>
          <w:rFonts w:ascii="宋体" w:hAnsi="宋体" w:eastAsia="宋体" w:cs="Times New Roman"/>
          <w:b/>
          <w:sz w:val="24"/>
          <w:szCs w:val="24"/>
          <w:lang w:val="en-US" w:eastAsia="zh-CN"/>
        </w:rPr>
      </w:pPr>
      <w:r>
        <w:rPr>
          <w:rFonts w:ascii="宋体" w:hAnsi="宋体" w:eastAsia="宋体" w:cs="Times New Roman"/>
          <w:b/>
          <w:bCs/>
          <w:sz w:val="24"/>
          <w:szCs w:val="24"/>
          <w:lang w:val="en-US" w:eastAsia="zh-CN"/>
        </w:rPr>
        <w:t xml:space="preserve">14. </w:t>
      </w:r>
      <w:r>
        <w:rPr>
          <w:rFonts w:ascii="Times New Roman" w:hAnsi="Times New Roman" w:eastAsia="宋体" w:cs="Times New Roman"/>
          <w:b/>
          <w:sz w:val="24"/>
          <w:szCs w:val="24"/>
          <w:lang w:val="en-US" w:eastAsia="zh-CN"/>
        </w:rPr>
        <w:t>售后</w:t>
      </w:r>
      <w:r>
        <w:rPr>
          <w:rFonts w:ascii="宋体" w:hAnsi="宋体" w:eastAsia="宋体" w:cs="Times New Roman"/>
          <w:b/>
          <w:sz w:val="24"/>
          <w:szCs w:val="24"/>
          <w:lang w:val="en-US" w:eastAsia="zh-CN"/>
        </w:rPr>
        <w:t>服务</w:t>
      </w:r>
    </w:p>
    <w:p w14:paraId="2FF56C9B">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14.1 除项目不涉及或采购活动中明确约定无须承担外，乙方还应提供下列服务：</w:t>
      </w:r>
    </w:p>
    <w:p w14:paraId="355466A3">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（1）货物的现场移动、安装、调试、启动监督及技术支持；</w:t>
      </w:r>
    </w:p>
    <w:p w14:paraId="424B5377">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（2）提供货物组装和维修所需的专用工具和辅助材料；</w:t>
      </w:r>
    </w:p>
    <w:p w14:paraId="6473F2B2">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（3）在</w:t>
      </w:r>
      <w:r>
        <w:rPr>
          <w:rFonts w:ascii="宋体" w:hAnsi="宋体" w:eastAsia="宋体" w:cs="宋体"/>
          <w:b/>
          <w:bCs/>
          <w:szCs w:val="15"/>
          <w:lang w:val="en-US" w:eastAsia="zh-CN"/>
        </w:rPr>
        <w:t>【政府采购合同专用条款】</w:t>
      </w:r>
      <w:r>
        <w:rPr>
          <w:rFonts w:ascii="宋体" w:hAnsi="宋体" w:eastAsia="宋体" w:cs="Times New Roman"/>
          <w:lang w:val="en-US" w:eastAsia="zh-CN"/>
        </w:rPr>
        <w:t>约定的期限内对所有的货物实施运行监督、维修，但前提条件是该服务并不能免除乙方在质量保证期内所承担的义务；</w:t>
      </w:r>
    </w:p>
    <w:p w14:paraId="33449AD0">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（4）在制造商所在地或指定现场就货物的安装、启动、运营、维护、废弃处置等对甲方操作人员进行培训</w:t>
      </w:r>
      <w:r>
        <w:rPr>
          <w:rFonts w:ascii="宋体" w:hAnsi="宋体" w:eastAsia="宋体" w:cs="宋体"/>
          <w:szCs w:val="15"/>
          <w:lang w:val="en-US" w:eastAsia="zh-CN"/>
        </w:rPr>
        <w:t>；</w:t>
      </w:r>
    </w:p>
    <w:p w14:paraId="2E313BCA">
      <w:pPr>
        <w:widowControl w:val="0"/>
        <w:autoSpaceDE w:val="0"/>
        <w:autoSpaceDN w:val="0"/>
        <w:adjustRightInd w:val="0"/>
        <w:spacing w:after="0" w:line="400" w:lineRule="exact"/>
        <w:ind w:firstLine="420" w:firstLineChars="200"/>
        <w:rPr>
          <w:rFonts w:ascii="宋体" w:hAnsi="宋体" w:eastAsia="宋体" w:cs="宋体"/>
          <w:lang w:val="en-US" w:eastAsia="zh-CN"/>
        </w:rPr>
      </w:pPr>
      <w:r>
        <w:rPr>
          <w:rFonts w:ascii="宋体" w:hAnsi="宋体" w:eastAsia="宋体" w:cs="宋体"/>
          <w:lang w:val="en-US" w:eastAsia="zh-CN"/>
        </w:rPr>
        <w:t>（5）依照法律、行政法规的规定或者按照</w:t>
      </w:r>
      <w:r>
        <w:rPr>
          <w:rFonts w:ascii="宋体" w:hAnsi="宋体" w:eastAsia="宋体" w:cs="宋体"/>
          <w:b/>
          <w:bCs/>
          <w:lang w:val="en-US" w:eastAsia="zh-CN"/>
        </w:rPr>
        <w:t>【政府采购合同专用条款】</w:t>
      </w:r>
      <w:r>
        <w:rPr>
          <w:rFonts w:ascii="宋体" w:hAnsi="宋体" w:eastAsia="宋体" w:cs="宋体"/>
          <w:lang w:val="en-US" w:eastAsia="zh-CN"/>
        </w:rPr>
        <w:t>约定，货物在有效使用年限届满后应予回收的，乙方负有自行或者委托第三人对货物予以回收的义务；</w:t>
      </w:r>
    </w:p>
    <w:p w14:paraId="68D08822">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（6）</w:t>
      </w:r>
      <w:r>
        <w:rPr>
          <w:rFonts w:ascii="宋体" w:hAnsi="宋体" w:eastAsia="宋体" w:cs="Times New Roman"/>
          <w:b/>
          <w:lang w:val="en-US" w:eastAsia="zh-CN"/>
        </w:rPr>
        <w:t>【政府采购合同专用条款】</w:t>
      </w:r>
      <w:r>
        <w:rPr>
          <w:rFonts w:ascii="宋体" w:hAnsi="宋体" w:eastAsia="宋体" w:cs="Times New Roman"/>
          <w:lang w:val="en-US" w:eastAsia="zh-CN"/>
        </w:rPr>
        <w:t>规定由乙方提供的其他服务。</w:t>
      </w:r>
    </w:p>
    <w:p w14:paraId="635694E4">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14.2 乙方提供的售后服务的费用已包含在合同价款中，甲方不再另行支付。</w:t>
      </w:r>
    </w:p>
    <w:p w14:paraId="756420CD">
      <w:pPr>
        <w:widowControl w:val="0"/>
        <w:adjustRightInd w:val="0"/>
        <w:snapToGrid w:val="0"/>
        <w:spacing w:after="0" w:line="400" w:lineRule="exact"/>
        <w:jc w:val="left"/>
        <w:rPr>
          <w:rFonts w:ascii="宋体" w:hAnsi="宋体" w:eastAsia="宋体" w:cs="Times New Roman"/>
          <w:b/>
          <w:bCs/>
          <w:sz w:val="24"/>
          <w:szCs w:val="24"/>
          <w:lang w:val="en-US" w:eastAsia="zh-CN"/>
        </w:rPr>
      </w:pPr>
      <w:r>
        <w:rPr>
          <w:rFonts w:ascii="宋体" w:hAnsi="宋体" w:eastAsia="宋体" w:cs="Times New Roman"/>
          <w:b/>
          <w:bCs/>
          <w:sz w:val="24"/>
          <w:szCs w:val="24"/>
          <w:lang w:val="en-US" w:eastAsia="zh-CN"/>
        </w:rPr>
        <w:t>15. 违约责任</w:t>
      </w:r>
    </w:p>
    <w:p w14:paraId="3BDAAE83">
      <w:pPr>
        <w:widowControl w:val="0"/>
        <w:adjustRightInd w:val="0"/>
        <w:snapToGrid w:val="0"/>
        <w:spacing w:after="0" w:line="400" w:lineRule="exact"/>
        <w:ind w:firstLine="420" w:firstLineChars="200"/>
        <w:jc w:val="left"/>
        <w:rPr>
          <w:rFonts w:ascii="宋体" w:hAnsi="宋体" w:eastAsia="宋体" w:cs="Times New Roman"/>
          <w:bCs/>
          <w:lang w:val="en-US" w:eastAsia="zh-CN"/>
        </w:rPr>
      </w:pPr>
      <w:r>
        <w:rPr>
          <w:rFonts w:ascii="宋体" w:hAnsi="宋体" w:eastAsia="宋体" w:cs="Times New Roman"/>
          <w:bCs/>
          <w:lang w:val="en-US" w:eastAsia="zh-CN"/>
        </w:rPr>
        <w:t>15.1质量瑕疵的违约责任</w:t>
      </w:r>
    </w:p>
    <w:p w14:paraId="3FC12A75">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乙方提供的产品不符合合同约定的质量标准或存在产品质量缺陷，甲方有权要求乙方根据</w:t>
      </w:r>
      <w:r>
        <w:rPr>
          <w:rFonts w:ascii="宋体" w:hAnsi="宋体" w:eastAsia="宋体" w:cs="Times New Roman"/>
          <w:b/>
          <w:lang w:val="en-US" w:eastAsia="zh-CN"/>
        </w:rPr>
        <w:t>【政府采购合同专用条款】</w:t>
      </w:r>
      <w:r>
        <w:rPr>
          <w:rFonts w:ascii="宋体" w:hAnsi="宋体" w:eastAsia="宋体" w:cs="Times New Roman"/>
          <w:bCs/>
          <w:lang w:val="en-US" w:eastAsia="zh-CN"/>
        </w:rPr>
        <w:t>要求</w:t>
      </w:r>
      <w:r>
        <w:rPr>
          <w:rFonts w:ascii="宋体" w:hAnsi="宋体" w:eastAsia="宋体" w:cs="Times New Roman"/>
          <w:lang w:val="en-US" w:eastAsia="zh-CN"/>
        </w:rPr>
        <w:t>及时修理、重作、更换，并承担由此给甲方造成的损失。</w:t>
      </w:r>
    </w:p>
    <w:p w14:paraId="62F5F84D">
      <w:pPr>
        <w:widowControl w:val="0"/>
        <w:autoSpaceDE w:val="0"/>
        <w:autoSpaceDN w:val="0"/>
        <w:adjustRightInd w:val="0"/>
        <w:snapToGrid w:val="0"/>
        <w:spacing w:after="0" w:line="400" w:lineRule="exact"/>
        <w:ind w:firstLine="420" w:firstLineChars="200"/>
        <w:jc w:val="left"/>
        <w:rPr>
          <w:rFonts w:ascii="宋体" w:hAnsi="宋体" w:eastAsia="宋体" w:cs="Times New Roman"/>
          <w:bCs/>
          <w:lang w:val="en-US" w:eastAsia="zh-CN"/>
        </w:rPr>
      </w:pPr>
      <w:r>
        <w:rPr>
          <w:rFonts w:ascii="宋体" w:hAnsi="宋体" w:eastAsia="宋体" w:cs="Times New Roman"/>
          <w:bCs/>
          <w:lang w:val="en-US" w:eastAsia="zh-CN"/>
        </w:rPr>
        <w:t>15.2 迟延交货的违约责任</w:t>
      </w:r>
    </w:p>
    <w:p w14:paraId="4280EB3C">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257F50C">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（2）如果乙方没有按照合同规定的时间交货和提供相关服务，甲方有权从货款中扣除误期赔偿费而不影响合同项下的其他补救方法，赔偿费按</w:t>
      </w:r>
      <w:r>
        <w:rPr>
          <w:rFonts w:ascii="宋体" w:hAnsi="宋体" w:eastAsia="宋体" w:cs="Times New Roman"/>
          <w:b/>
          <w:lang w:val="en-US" w:eastAsia="zh-CN"/>
        </w:rPr>
        <w:t>【政府采购合同专用条款】</w:t>
      </w:r>
      <w:r>
        <w:rPr>
          <w:rFonts w:ascii="宋体" w:hAnsi="宋体" w:eastAsia="宋体" w:cs="Times New Roman"/>
          <w:lang w:val="en-US" w:eastAsia="zh-CN"/>
        </w:rPr>
        <w:t>规定执行。如果涉及公共利益，且赔偿金额无法弥补公共利益损失，甲方可要求继续履行或者采取其他补救措施。</w:t>
      </w:r>
    </w:p>
    <w:p w14:paraId="5C984A8D">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15.3 迟延支付的违约责任</w:t>
      </w:r>
    </w:p>
    <w:p w14:paraId="6C5D183C">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甲方存在迟延支付乙方合同款项的，应当承担</w:t>
      </w:r>
      <w:r>
        <w:rPr>
          <w:rFonts w:ascii="宋体" w:hAnsi="宋体" w:eastAsia="宋体" w:cs="Times New Roman"/>
          <w:b/>
          <w:bCs/>
          <w:lang w:val="en-US" w:eastAsia="zh-CN"/>
        </w:rPr>
        <w:t>【政府采购合同专用条款】</w:t>
      </w:r>
      <w:r>
        <w:rPr>
          <w:rFonts w:ascii="宋体" w:hAnsi="宋体" w:eastAsia="宋体" w:cs="Times New Roman"/>
          <w:lang w:val="en-US" w:eastAsia="zh-CN"/>
        </w:rPr>
        <w:t>规定的逾期付款利息。</w:t>
      </w:r>
    </w:p>
    <w:p w14:paraId="130D9CE8">
      <w:pPr>
        <w:widowControl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bCs/>
          <w:lang w:val="en-US" w:eastAsia="zh-CN"/>
        </w:rPr>
        <w:t>15.4其他违约责任根据项目实际需要按</w:t>
      </w:r>
      <w:r>
        <w:rPr>
          <w:rFonts w:ascii="宋体" w:hAnsi="宋体" w:eastAsia="宋体" w:cs="Times New Roman"/>
          <w:b/>
          <w:bCs/>
          <w:lang w:val="en-US" w:eastAsia="zh-CN"/>
        </w:rPr>
        <w:t>【政府采购合同专用条款】</w:t>
      </w:r>
      <w:r>
        <w:rPr>
          <w:rFonts w:ascii="宋体" w:hAnsi="宋体" w:eastAsia="宋体" w:cs="Times New Roman"/>
          <w:lang w:val="en-US" w:eastAsia="zh-CN"/>
        </w:rPr>
        <w:t>规定执行。</w:t>
      </w:r>
    </w:p>
    <w:p w14:paraId="05CAC699">
      <w:pPr>
        <w:widowControl w:val="0"/>
        <w:numPr>
          <w:ilvl w:val="0"/>
          <w:numId w:val="11"/>
        </w:numPr>
        <w:autoSpaceDE w:val="0"/>
        <w:autoSpaceDN w:val="0"/>
        <w:adjustRightInd w:val="0"/>
        <w:snapToGrid w:val="0"/>
        <w:spacing w:after="0" w:line="400" w:lineRule="exact"/>
        <w:jc w:val="left"/>
        <w:rPr>
          <w:rFonts w:ascii="宋体" w:hAnsi="宋体" w:eastAsia="宋体" w:cs="Times New Roman"/>
          <w:b/>
          <w:sz w:val="24"/>
          <w:szCs w:val="24"/>
          <w:lang w:val="en-US" w:eastAsia="zh-CN"/>
        </w:rPr>
      </w:pPr>
      <w:r>
        <w:rPr>
          <w:rFonts w:ascii="宋体" w:hAnsi="宋体" w:eastAsia="宋体" w:cs="Times New Roman"/>
          <w:b/>
          <w:sz w:val="24"/>
          <w:szCs w:val="24"/>
          <w:lang w:val="en-US" w:eastAsia="zh-CN"/>
        </w:rPr>
        <w:t>合同变更、中止与终止</w:t>
      </w:r>
    </w:p>
    <w:p w14:paraId="0D84DA7D">
      <w:pPr>
        <w:widowControl w:val="0"/>
        <w:adjustRightInd w:val="0"/>
        <w:snapToGrid w:val="0"/>
        <w:spacing w:after="0" w:line="400" w:lineRule="exact"/>
        <w:jc w:val="left"/>
        <w:rPr>
          <w:rFonts w:ascii="宋体" w:hAnsi="宋体" w:eastAsia="宋体" w:cs="Times New Roman"/>
          <w:lang w:val="en-US" w:eastAsia="zh-CN"/>
        </w:rPr>
      </w:pPr>
      <w:r>
        <w:rPr>
          <w:rFonts w:ascii="宋体" w:hAnsi="宋体" w:eastAsia="宋体" w:cs="Times New Roman"/>
          <w:lang w:val="en-US" w:eastAsia="zh-CN"/>
        </w:rPr>
        <w:t xml:space="preserve">    16.1合同的变更</w:t>
      </w:r>
    </w:p>
    <w:p w14:paraId="3FC946CD">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政府采购合同履行中，在不改变合同其他条款的前提下，甲方可以在合同价款10%的范围内追加与合同标的相同的货物，并就此与乙方协商一致后签订补充协议。</w:t>
      </w:r>
    </w:p>
    <w:p w14:paraId="0F70CD4F">
      <w:pPr>
        <w:widowControl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16.2合同的中止</w:t>
      </w:r>
    </w:p>
    <w:p w14:paraId="47827E9A">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（1）合同履行过程中因供应商就采购文件、采购过程或结果提起投诉的，甲方认为有必要的，可以中止合同的履行。</w:t>
      </w:r>
    </w:p>
    <w:p w14:paraId="79058ECA">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513FD184">
      <w:pPr>
        <w:widowControl w:val="0"/>
        <w:autoSpaceDE w:val="0"/>
        <w:autoSpaceDN w:val="0"/>
        <w:adjustRightInd w:val="0"/>
        <w:spacing w:after="0" w:line="400" w:lineRule="exact"/>
        <w:ind w:firstLine="420" w:firstLineChars="200"/>
        <w:rPr>
          <w:rFonts w:ascii="华文楷体" w:hAnsi="华文楷体" w:eastAsia="华文楷体" w:cs="华文楷体"/>
          <w:lang w:val="en-US" w:eastAsia="zh-CN"/>
        </w:rPr>
      </w:pPr>
      <w:r>
        <w:rPr>
          <w:rFonts w:ascii="宋体" w:hAnsi="宋体" w:eastAsia="宋体" w:cs="宋体"/>
          <w:lang w:val="en-US" w:eastAsia="zh-CN"/>
        </w:rPr>
        <w:t>（3）乙方分立、合并或者变更住所的，应当及时以书面形式告知甲方。乙方没有及时告知甲方，致使合同履行发生困难的，甲方可以中止合同履行并要求乙方承担由此给甲方造成的损失。</w:t>
      </w:r>
    </w:p>
    <w:p w14:paraId="210A829F">
      <w:pPr>
        <w:widowControl w:val="0"/>
        <w:snapToGrid w:val="0"/>
        <w:spacing w:after="0" w:line="400" w:lineRule="exact"/>
        <w:ind w:firstLine="420" w:firstLineChars="200"/>
        <w:jc w:val="left"/>
        <w:rPr>
          <w:rFonts w:hint="default" w:ascii="Times New Roman" w:hAnsi="Times New Roman" w:eastAsia="宋体" w:cs="Times New Roman"/>
          <w:szCs w:val="24"/>
          <w:lang w:val="en-US" w:eastAsia="zh-CN"/>
        </w:rPr>
      </w:pPr>
      <w:r>
        <w:rPr>
          <w:rFonts w:ascii="宋体" w:hAnsi="宋体" w:eastAsia="宋体" w:cs="Times New Roman"/>
          <w:lang w:val="en-US" w:eastAsia="zh-CN"/>
        </w:rPr>
        <w:t>（4）甲方不得以行政区划调整、政府换届、机构或者职能调整以及相关责任人更替为由中止合同。</w:t>
      </w:r>
    </w:p>
    <w:p w14:paraId="40FF77C7">
      <w:pPr>
        <w:widowControl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16.3合同的终止</w:t>
      </w:r>
    </w:p>
    <w:p w14:paraId="1C9BDCE0">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（1）合同因有效期限届满而终止；</w:t>
      </w:r>
    </w:p>
    <w:p w14:paraId="726155AA">
      <w:pPr>
        <w:widowControl w:val="0"/>
        <w:snapToGrid w:val="0"/>
        <w:spacing w:after="0" w:line="400" w:lineRule="exact"/>
        <w:ind w:firstLine="420" w:firstLineChars="200"/>
        <w:rPr>
          <w:rFonts w:ascii="宋体" w:hAnsi="宋体" w:eastAsia="宋体" w:cs="宋体"/>
          <w:lang w:val="en-US" w:eastAsia="zh-CN"/>
        </w:rPr>
      </w:pPr>
      <w:r>
        <w:rPr>
          <w:rFonts w:ascii="宋体" w:hAnsi="宋体" w:eastAsia="宋体" w:cs="Times New Roman"/>
          <w:lang w:val="en-US" w:eastAsia="zh-CN"/>
        </w:rPr>
        <w:t>（2）乙方未按合同约定履行，构成根本性违约的，甲方有权终止合同，</w:t>
      </w:r>
      <w:r>
        <w:rPr>
          <w:rFonts w:ascii="宋体" w:hAnsi="宋体" w:eastAsia="宋体" w:cs="宋体"/>
          <w:lang w:val="en-US" w:eastAsia="zh-CN"/>
        </w:rPr>
        <w:t>并追究乙方的违约责任</w:t>
      </w:r>
      <w:r>
        <w:rPr>
          <w:rFonts w:ascii="宋体" w:hAnsi="宋体" w:eastAsia="宋体" w:cs="Times New Roman"/>
          <w:lang w:val="en-US" w:eastAsia="zh-CN"/>
        </w:rPr>
        <w:t>。</w:t>
      </w:r>
    </w:p>
    <w:p w14:paraId="7C8E6889">
      <w:pPr>
        <w:widowControl w:val="0"/>
        <w:autoSpaceDE w:val="0"/>
        <w:autoSpaceDN w:val="0"/>
        <w:adjustRightInd w:val="0"/>
        <w:spacing w:after="0" w:line="400" w:lineRule="exact"/>
        <w:ind w:firstLine="440" w:firstLineChars="200"/>
        <w:rPr>
          <w:rFonts w:ascii="宋体" w:hAnsi="宋体" w:eastAsia="华文楷体" w:cs="华文楷体"/>
          <w:sz w:val="22"/>
          <w:lang w:val="en-US" w:eastAsia="zh-CN"/>
        </w:rPr>
      </w:pPr>
      <w:r>
        <w:rPr>
          <w:rFonts w:ascii="宋体" w:hAnsi="宋体" w:eastAsia="华文楷体" w:cs="华文楷体"/>
          <w:sz w:val="22"/>
          <w:lang w:val="en-US" w:eastAsia="zh-CN"/>
        </w:rPr>
        <w:t xml:space="preserve">16.4 </w:t>
      </w:r>
      <w:r>
        <w:rPr>
          <w:rFonts w:ascii="宋体" w:hAnsi="宋体" w:eastAsia="宋体" w:cs="Times New Roman"/>
          <w:lang w:val="en-US" w:eastAsia="zh-CN"/>
        </w:rPr>
        <w:t>涉及国家利益、社会公共利益的情形</w:t>
      </w:r>
    </w:p>
    <w:p w14:paraId="35CC6746">
      <w:pPr>
        <w:widowControl w:val="0"/>
        <w:autoSpaceDE w:val="0"/>
        <w:autoSpaceDN w:val="0"/>
        <w:adjustRightInd w:val="0"/>
        <w:spacing w:after="0" w:line="400" w:lineRule="exact"/>
        <w:ind w:firstLine="420" w:firstLineChars="200"/>
        <w:rPr>
          <w:rFonts w:ascii="华文楷体" w:hAnsi="华文楷体" w:eastAsia="华文楷体" w:cs="华文楷体"/>
          <w:lang w:val="en-US" w:eastAsia="zh-CN"/>
        </w:rPr>
      </w:pPr>
      <w:r>
        <w:rPr>
          <w:rFonts w:ascii="宋体" w:hAnsi="宋体" w:eastAsia="宋体" w:cs="宋体"/>
          <w:lang w:val="en-US" w:eastAsia="zh-CN"/>
        </w:rPr>
        <w:t>政府采购合同继续履行将损害国家利益和社会公共利益的，双方当事人应当变更、中止或者终止合同。有过错的一方应当承担赔偿责任，双方都有过错的，各自承担相应的责任。</w:t>
      </w:r>
    </w:p>
    <w:p w14:paraId="0D22AF87">
      <w:pPr>
        <w:widowControl w:val="0"/>
        <w:autoSpaceDE w:val="0"/>
        <w:autoSpaceDN w:val="0"/>
        <w:adjustRightInd w:val="0"/>
        <w:snapToGrid w:val="0"/>
        <w:spacing w:after="0" w:line="400" w:lineRule="exact"/>
        <w:jc w:val="left"/>
        <w:rPr>
          <w:rFonts w:ascii="宋体" w:hAnsi="宋体" w:eastAsia="宋体" w:cs="Times New Roman"/>
          <w:b/>
          <w:bCs/>
          <w:sz w:val="24"/>
          <w:szCs w:val="24"/>
          <w:lang w:val="en-US" w:eastAsia="zh-CN"/>
        </w:rPr>
      </w:pPr>
      <w:r>
        <w:rPr>
          <w:rFonts w:ascii="宋体" w:hAnsi="宋体" w:eastAsia="宋体" w:cs="Times New Roman"/>
          <w:b/>
          <w:bCs/>
          <w:sz w:val="24"/>
          <w:szCs w:val="24"/>
          <w:lang w:val="en-US" w:eastAsia="zh-CN"/>
        </w:rPr>
        <w:t>17. 合同分包</w:t>
      </w:r>
    </w:p>
    <w:p w14:paraId="36EEF678">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17.1 乙方不得将合同转包给其他供应商。涉及合同分包的，乙方应根据采购文件和投标（响应）文件规定进行合同分包。</w:t>
      </w:r>
    </w:p>
    <w:p w14:paraId="3FA3BABF">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17.2 乙方执行政府采购政策向中小企业依法分包的，乙方应当按采购文件和投标（响应）文件签订分包意向协议，分包意向协议属于本合同组成部分。</w:t>
      </w:r>
    </w:p>
    <w:p w14:paraId="628989B3">
      <w:pPr>
        <w:widowControl w:val="0"/>
        <w:autoSpaceDE w:val="0"/>
        <w:autoSpaceDN w:val="0"/>
        <w:adjustRightInd w:val="0"/>
        <w:snapToGrid w:val="0"/>
        <w:spacing w:after="0" w:line="400" w:lineRule="exact"/>
        <w:jc w:val="left"/>
        <w:rPr>
          <w:rFonts w:ascii="宋体" w:hAnsi="宋体" w:eastAsia="宋体" w:cs="Times New Roman"/>
          <w:b/>
          <w:bCs/>
          <w:sz w:val="24"/>
          <w:szCs w:val="24"/>
          <w:lang w:val="en-US" w:eastAsia="zh-CN"/>
        </w:rPr>
      </w:pPr>
      <w:r>
        <w:rPr>
          <w:rFonts w:ascii="宋体" w:hAnsi="宋体" w:eastAsia="宋体" w:cs="Times New Roman"/>
          <w:b/>
          <w:bCs/>
          <w:sz w:val="24"/>
          <w:szCs w:val="24"/>
          <w:lang w:val="en-US" w:eastAsia="zh-CN"/>
        </w:rPr>
        <w:t>18. 不可抗力</w:t>
      </w:r>
    </w:p>
    <w:p w14:paraId="5F1CAFA0">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18.1 不可抗力是指合同双方不能预见、不能避免且不能克服的客观情况。</w:t>
      </w:r>
    </w:p>
    <w:p w14:paraId="5C9A74AA">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18.2 任何一方对由于不可抗力造成的部分或全部不能履行合同不承担违约责任。但迟延履行后发生不可抗力的，不能免除责任。</w:t>
      </w:r>
    </w:p>
    <w:p w14:paraId="5F8C64D9">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125FFE23">
      <w:pPr>
        <w:widowControl w:val="0"/>
        <w:autoSpaceDE w:val="0"/>
        <w:autoSpaceDN w:val="0"/>
        <w:adjustRightInd w:val="0"/>
        <w:snapToGrid w:val="0"/>
        <w:spacing w:after="0" w:line="400" w:lineRule="exact"/>
        <w:jc w:val="left"/>
        <w:rPr>
          <w:rFonts w:ascii="宋体" w:hAnsi="宋体" w:eastAsia="宋体" w:cs="Times New Roman"/>
          <w:b/>
          <w:bCs/>
          <w:sz w:val="24"/>
          <w:szCs w:val="24"/>
          <w:lang w:val="en-US" w:eastAsia="zh-CN"/>
        </w:rPr>
      </w:pPr>
      <w:r>
        <w:rPr>
          <w:rFonts w:ascii="宋体" w:hAnsi="宋体" w:eastAsia="宋体" w:cs="Times New Roman"/>
          <w:b/>
          <w:bCs/>
          <w:sz w:val="24"/>
          <w:szCs w:val="24"/>
          <w:lang w:val="en-US" w:eastAsia="zh-CN"/>
        </w:rPr>
        <w:t>19. 解决争议的方法</w:t>
      </w:r>
    </w:p>
    <w:p w14:paraId="058E8E0B">
      <w:pPr>
        <w:widowControl w:val="0"/>
        <w:autoSpaceDE w:val="0"/>
        <w:autoSpaceDN w:val="0"/>
        <w:adjustRightInd w:val="0"/>
        <w:spacing w:after="0" w:line="400" w:lineRule="exact"/>
        <w:ind w:firstLine="420" w:firstLineChars="200"/>
        <w:rPr>
          <w:rFonts w:ascii="宋体" w:hAnsi="宋体" w:eastAsia="宋体" w:cs="宋体"/>
          <w:lang w:val="en-US" w:eastAsia="zh-CN"/>
        </w:rPr>
      </w:pPr>
      <w:r>
        <w:rPr>
          <w:rFonts w:ascii="宋体" w:hAnsi="宋体" w:eastAsia="宋体" w:cs="宋体"/>
          <w:lang w:val="en-US" w:eastAsia="zh-CN"/>
        </w:rPr>
        <w:t>19.1 因本合同及合同有关事项发生的争议，由甲乙双方友好协商解决。协商不成时，可以向有关组织申请调解。合同一方或双方不愿调解或调解不成的，可以通过仲裁或诉讼的方式解决争议。</w:t>
      </w:r>
    </w:p>
    <w:p w14:paraId="69AE8E98">
      <w:pPr>
        <w:widowControl w:val="0"/>
        <w:autoSpaceDE w:val="0"/>
        <w:autoSpaceDN w:val="0"/>
        <w:adjustRightInd w:val="0"/>
        <w:spacing w:after="0" w:line="400" w:lineRule="exact"/>
        <w:ind w:firstLine="420" w:firstLineChars="200"/>
        <w:rPr>
          <w:rFonts w:ascii="宋体" w:hAnsi="宋体" w:eastAsia="宋体" w:cs="宋体"/>
          <w:lang w:val="en-US" w:eastAsia="zh-CN"/>
        </w:rPr>
      </w:pPr>
      <w:r>
        <w:rPr>
          <w:rFonts w:ascii="宋体" w:hAnsi="宋体" w:eastAsia="宋体" w:cs="宋体"/>
          <w:lang w:val="en-US" w:eastAsia="zh-CN"/>
        </w:rPr>
        <w:t>19.2 选择仲裁的，应在</w:t>
      </w:r>
      <w:r>
        <w:rPr>
          <w:rFonts w:ascii="宋体" w:hAnsi="宋体" w:eastAsia="宋体" w:cs="宋体"/>
          <w:b/>
          <w:bCs/>
          <w:lang w:val="en-US" w:eastAsia="zh-CN"/>
        </w:rPr>
        <w:t>【政府采购合同专用条款】</w:t>
      </w:r>
      <w:r>
        <w:rPr>
          <w:rFonts w:ascii="宋体" w:hAnsi="宋体" w:eastAsia="宋体" w:cs="宋体"/>
          <w:lang w:val="en-US" w:eastAsia="zh-CN"/>
        </w:rPr>
        <w:t>中明确仲裁机构及仲裁地；通过诉讼方式解决的，可以在</w:t>
      </w:r>
      <w:r>
        <w:rPr>
          <w:rFonts w:ascii="宋体" w:hAnsi="宋体" w:eastAsia="宋体" w:cs="宋体"/>
          <w:b/>
          <w:bCs/>
          <w:lang w:val="en-US" w:eastAsia="zh-CN"/>
        </w:rPr>
        <w:t>【政府采购合同专用条款】</w:t>
      </w:r>
      <w:r>
        <w:rPr>
          <w:rFonts w:ascii="宋体" w:hAnsi="宋体" w:eastAsia="宋体" w:cs="宋体"/>
          <w:lang w:val="en-US" w:eastAsia="zh-CN"/>
        </w:rPr>
        <w:t>中进一步约定选择与争议有实际联系的地点的人民法院管辖，但管辖法院的约定不得违反级别管辖和专属管辖的规定。</w:t>
      </w:r>
    </w:p>
    <w:p w14:paraId="483CA24B">
      <w:pPr>
        <w:widowControl w:val="0"/>
        <w:autoSpaceDE w:val="0"/>
        <w:autoSpaceDN w:val="0"/>
        <w:adjustRightInd w:val="0"/>
        <w:spacing w:after="0" w:line="400" w:lineRule="exact"/>
        <w:ind w:firstLine="420" w:firstLineChars="200"/>
        <w:rPr>
          <w:rFonts w:ascii="宋体" w:hAnsi="宋体" w:eastAsia="宋体" w:cs="宋体"/>
          <w:lang w:val="en-US" w:eastAsia="zh-CN"/>
        </w:rPr>
      </w:pPr>
      <w:r>
        <w:rPr>
          <w:rFonts w:ascii="宋体" w:hAnsi="宋体" w:eastAsia="宋体" w:cs="宋体"/>
          <w:lang w:val="en-US" w:eastAsia="zh-CN"/>
        </w:rPr>
        <w:t>19.3 如甲乙双方有争议的事项不影响合同其他部分的履行，在争议解决期间，合同其他部分应当继续履行。</w:t>
      </w:r>
    </w:p>
    <w:p w14:paraId="6D2D1D02">
      <w:pPr>
        <w:widowControl w:val="0"/>
        <w:autoSpaceDE w:val="0"/>
        <w:autoSpaceDN w:val="0"/>
        <w:adjustRightInd w:val="0"/>
        <w:snapToGrid w:val="0"/>
        <w:spacing w:after="0" w:line="400" w:lineRule="exact"/>
        <w:jc w:val="left"/>
        <w:rPr>
          <w:rFonts w:ascii="宋体" w:hAnsi="宋体" w:eastAsia="宋体" w:cs="Times New Roman"/>
          <w:sz w:val="24"/>
          <w:szCs w:val="24"/>
          <w:lang w:val="en-US" w:eastAsia="zh-CN"/>
        </w:rPr>
      </w:pPr>
      <w:r>
        <w:rPr>
          <w:rFonts w:ascii="宋体" w:hAnsi="宋体" w:eastAsia="宋体" w:cs="Times New Roman"/>
          <w:b/>
          <w:sz w:val="24"/>
          <w:szCs w:val="24"/>
          <w:lang w:val="en-US" w:eastAsia="zh-CN"/>
        </w:rPr>
        <w:t>20. 政府采购政策</w:t>
      </w:r>
    </w:p>
    <w:p w14:paraId="77DC3295">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 xml:space="preserve">20.1 </w:t>
      </w:r>
      <w:r>
        <w:rPr>
          <w:rFonts w:ascii="宋体" w:hAnsi="宋体" w:eastAsia="宋体" w:cs="宋体"/>
          <w:szCs w:val="24"/>
          <w:lang w:val="en-GB" w:eastAsia="zh-CN"/>
        </w:rPr>
        <w:t>本合同应当按照规定执行政府采购政策。</w:t>
      </w:r>
    </w:p>
    <w:p w14:paraId="1577CA5F">
      <w:pPr>
        <w:widowControl w:val="0"/>
        <w:autoSpaceDE w:val="0"/>
        <w:autoSpaceDN w:val="0"/>
        <w:adjustRightInd w:val="0"/>
        <w:snapToGrid w:val="0"/>
        <w:spacing w:after="0" w:line="400" w:lineRule="exact"/>
        <w:ind w:firstLine="420" w:firstLineChars="200"/>
        <w:jc w:val="left"/>
        <w:rPr>
          <w:rFonts w:ascii="宋体" w:hAnsi="宋体" w:eastAsia="宋体" w:cs="Times New Roman"/>
          <w:lang w:val="en-US" w:eastAsia="zh-CN"/>
        </w:rPr>
      </w:pPr>
      <w:r>
        <w:rPr>
          <w:rFonts w:hint="default" w:ascii="宋体" w:hAnsi="宋体" w:eastAsia="宋体" w:cs="Times New Roman"/>
          <w:lang w:val="en-US" w:eastAsia="zh-CN"/>
        </w:rPr>
        <w:t>2</w:t>
      </w:r>
      <w:r>
        <w:rPr>
          <w:rFonts w:ascii="宋体" w:hAnsi="宋体" w:eastAsia="宋体" w:cs="Times New Roman"/>
          <w:lang w:val="en-US" w:eastAsia="zh-CN"/>
        </w:rPr>
        <w:t>0.2 本合同依法执行政府采购政策的方式和内容，属于合同履约验收的范围。</w:t>
      </w:r>
      <w:r>
        <w:rPr>
          <w:rFonts w:ascii="宋体" w:hAnsi="宋体" w:eastAsia="宋体" w:cs="宋体"/>
          <w:szCs w:val="24"/>
          <w:lang w:val="en-US" w:eastAsia="zh-CN"/>
        </w:rPr>
        <w:t>甲乙双方</w:t>
      </w:r>
      <w:r>
        <w:rPr>
          <w:rFonts w:ascii="宋体" w:hAnsi="宋体" w:eastAsia="宋体" w:cs="宋体"/>
          <w:szCs w:val="24"/>
          <w:lang w:val="en-GB" w:eastAsia="zh-CN"/>
        </w:rPr>
        <w:t>未按规定要求执行政府采购政策造成损失的</w:t>
      </w:r>
      <w:r>
        <w:rPr>
          <w:rFonts w:ascii="宋体" w:hAnsi="宋体" w:eastAsia="宋体" w:cs="Times New Roman"/>
          <w:lang w:val="en-US" w:eastAsia="zh-CN"/>
        </w:rPr>
        <w:t>，有过错的一方应当承担赔偿责任，双方都有过错的，各自承担相应的责任。</w:t>
      </w:r>
    </w:p>
    <w:p w14:paraId="0F23EB6F">
      <w:pPr>
        <w:widowControl w:val="0"/>
        <w:spacing w:after="0" w:line="400" w:lineRule="exact"/>
        <w:ind w:firstLine="420" w:firstLineChars="200"/>
        <w:rPr>
          <w:rFonts w:hint="default" w:ascii="Calibri" w:hAnsi="Calibri" w:eastAsia="宋体" w:cs="Times New Roman"/>
          <w:szCs w:val="22"/>
          <w:lang w:val="en-US" w:eastAsia="zh-CN"/>
        </w:rPr>
      </w:pPr>
      <w:r>
        <w:rPr>
          <w:rFonts w:hint="default" w:ascii="宋体" w:hAnsi="宋体" w:eastAsia="宋体" w:cs="Times New Roman"/>
          <w:lang w:val="en-US" w:eastAsia="zh-CN"/>
        </w:rPr>
        <w:t>2</w:t>
      </w:r>
      <w:r>
        <w:rPr>
          <w:rFonts w:ascii="宋体" w:hAnsi="宋体" w:eastAsia="宋体" w:cs="Times New Roman"/>
          <w:lang w:val="en-US" w:eastAsia="zh-CN"/>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EF0EA7F">
      <w:pPr>
        <w:widowControl w:val="0"/>
        <w:autoSpaceDE w:val="0"/>
        <w:autoSpaceDN w:val="0"/>
        <w:adjustRightInd w:val="0"/>
        <w:snapToGrid w:val="0"/>
        <w:spacing w:after="0" w:line="400" w:lineRule="exact"/>
        <w:jc w:val="left"/>
        <w:rPr>
          <w:rFonts w:ascii="宋体" w:hAnsi="宋体" w:eastAsia="宋体" w:cs="Times New Roman"/>
          <w:b/>
          <w:sz w:val="24"/>
          <w:szCs w:val="24"/>
          <w:lang w:val="en-US" w:eastAsia="zh-CN"/>
        </w:rPr>
      </w:pPr>
      <w:r>
        <w:rPr>
          <w:rFonts w:ascii="宋体" w:hAnsi="宋体" w:eastAsia="宋体" w:cs="Times New Roman"/>
          <w:b/>
          <w:sz w:val="24"/>
          <w:szCs w:val="24"/>
          <w:lang w:val="en-US" w:eastAsia="zh-CN"/>
        </w:rPr>
        <w:t>21. 法律适用</w:t>
      </w:r>
    </w:p>
    <w:p w14:paraId="6319EF68">
      <w:pPr>
        <w:widowControl w:val="0"/>
        <w:autoSpaceDE w:val="0"/>
        <w:autoSpaceDN w:val="0"/>
        <w:adjustRightInd w:val="0"/>
        <w:spacing w:after="0" w:line="400" w:lineRule="exact"/>
        <w:ind w:firstLine="420" w:firstLineChars="200"/>
        <w:rPr>
          <w:rFonts w:ascii="宋体" w:hAnsi="宋体" w:eastAsia="宋体" w:cs="宋体"/>
          <w:lang w:val="en-US" w:eastAsia="zh-CN"/>
        </w:rPr>
      </w:pPr>
      <w:r>
        <w:rPr>
          <w:rFonts w:ascii="宋体" w:hAnsi="宋体" w:eastAsia="宋体" w:cs="宋体"/>
          <w:lang w:val="en-US" w:eastAsia="zh-CN"/>
        </w:rPr>
        <w:t>21.1 本合同的订立、生效、解释、履行及与本合同有关的争议解决，均适用法律、行政法规。</w:t>
      </w:r>
    </w:p>
    <w:p w14:paraId="34B5C3D5">
      <w:pPr>
        <w:widowControl w:val="0"/>
        <w:autoSpaceDE w:val="0"/>
        <w:autoSpaceDN w:val="0"/>
        <w:adjustRightInd w:val="0"/>
        <w:spacing w:after="0" w:line="400" w:lineRule="exact"/>
        <w:ind w:firstLine="420" w:firstLineChars="200"/>
        <w:rPr>
          <w:rFonts w:ascii="宋体" w:hAnsi="宋体" w:eastAsia="宋体" w:cs="宋体"/>
          <w:lang w:val="en-US" w:eastAsia="zh-CN"/>
        </w:rPr>
      </w:pPr>
      <w:r>
        <w:rPr>
          <w:rFonts w:ascii="宋体" w:hAnsi="宋体" w:eastAsia="宋体" w:cs="宋体"/>
          <w:lang w:val="en-US" w:eastAsia="zh-CN"/>
        </w:rPr>
        <w:t>21.2 本合同条款与法律、行政法规的强制性规定不一致的，双方当事人应按照法律、行政法规的强制性规定修改本合同的相关条款。</w:t>
      </w:r>
    </w:p>
    <w:p w14:paraId="5AC13637">
      <w:pPr>
        <w:widowControl w:val="0"/>
        <w:autoSpaceDE w:val="0"/>
        <w:autoSpaceDN w:val="0"/>
        <w:adjustRightInd w:val="0"/>
        <w:snapToGrid w:val="0"/>
        <w:spacing w:after="0" w:line="400" w:lineRule="exact"/>
        <w:jc w:val="left"/>
        <w:rPr>
          <w:rFonts w:ascii="宋体" w:hAnsi="宋体" w:eastAsia="宋体" w:cs="Times New Roman"/>
          <w:b/>
          <w:sz w:val="24"/>
          <w:szCs w:val="24"/>
          <w:lang w:val="en-US" w:eastAsia="zh-CN"/>
        </w:rPr>
      </w:pPr>
      <w:r>
        <w:rPr>
          <w:rFonts w:ascii="宋体" w:hAnsi="宋体" w:eastAsia="宋体" w:cs="Times New Roman"/>
          <w:b/>
          <w:sz w:val="24"/>
          <w:szCs w:val="24"/>
          <w:lang w:val="en-US" w:eastAsia="zh-CN"/>
        </w:rPr>
        <w:t>22. 通知</w:t>
      </w:r>
    </w:p>
    <w:p w14:paraId="171BC98D">
      <w:pPr>
        <w:widowControl w:val="0"/>
        <w:autoSpaceDE w:val="0"/>
        <w:autoSpaceDN w:val="0"/>
        <w:adjustRightInd w:val="0"/>
        <w:spacing w:after="0" w:line="400" w:lineRule="exact"/>
        <w:ind w:firstLine="420" w:firstLineChars="200"/>
        <w:rPr>
          <w:rFonts w:ascii="宋体" w:hAnsi="宋体" w:eastAsia="宋体" w:cs="宋体"/>
          <w:lang w:val="en-US" w:eastAsia="zh-CN"/>
        </w:rPr>
      </w:pPr>
      <w:r>
        <w:rPr>
          <w:rFonts w:ascii="宋体" w:hAnsi="宋体" w:eastAsia="宋体" w:cs="宋体"/>
          <w:lang w:val="en-US" w:eastAsia="zh-CN"/>
        </w:rPr>
        <w:t>22.1 本合同任何一方向对方发出的通知、信件、数据电文等，应当发送至本合同第一部分《政府采购合同协议书》所约定的通讯地址、联系人、联系电话或电子邮箱。</w:t>
      </w:r>
    </w:p>
    <w:p w14:paraId="739ADA1C">
      <w:pPr>
        <w:widowControl w:val="0"/>
        <w:autoSpaceDE w:val="0"/>
        <w:autoSpaceDN w:val="0"/>
        <w:adjustRightInd w:val="0"/>
        <w:spacing w:after="0" w:line="400" w:lineRule="exact"/>
        <w:rPr>
          <w:rFonts w:ascii="华文楷体" w:hAnsi="华文楷体" w:eastAsia="华文楷体" w:cs="华文楷体"/>
          <w:lang w:val="en-US" w:eastAsia="zh-CN"/>
        </w:rPr>
      </w:pPr>
      <w:r>
        <w:rPr>
          <w:rFonts w:ascii="宋体" w:hAnsi="宋体" w:eastAsia="宋体" w:cs="宋体"/>
          <w:lang w:val="en-US" w:eastAsia="zh-CN"/>
        </w:rPr>
        <w:t xml:space="preserve">    22.2 一方当事人变更名称、住所、联系人、联系电话或电子邮箱等信息的，应当在变更后3日内及时书面通知对方，对方实际收到变更通知前的送达仍为有效送达。</w:t>
      </w:r>
    </w:p>
    <w:p w14:paraId="31FDC09C">
      <w:pPr>
        <w:widowControl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22.3本合同一方给另一方的通知均应采用书面形式，传真或快递送到本合同中规定的对方的地址和办理签收手续。</w:t>
      </w:r>
    </w:p>
    <w:p w14:paraId="648BD31D">
      <w:pPr>
        <w:widowControl w:val="0"/>
        <w:adjustRightInd w:val="0"/>
        <w:snapToGrid w:val="0"/>
        <w:spacing w:after="0" w:line="400" w:lineRule="exact"/>
        <w:ind w:firstLine="420" w:firstLineChars="200"/>
        <w:jc w:val="left"/>
        <w:rPr>
          <w:rFonts w:ascii="宋体" w:hAnsi="宋体" w:eastAsia="宋体" w:cs="Times New Roman"/>
          <w:lang w:val="en-US" w:eastAsia="zh-CN"/>
        </w:rPr>
      </w:pPr>
      <w:r>
        <w:rPr>
          <w:rFonts w:ascii="宋体" w:hAnsi="宋体" w:eastAsia="宋体" w:cs="Times New Roman"/>
          <w:lang w:val="en-US" w:eastAsia="zh-CN"/>
        </w:rPr>
        <w:t>22.4通知以送达之日或通知书中规定的生效之日起生效，两者中以较迟之日为准。</w:t>
      </w:r>
    </w:p>
    <w:p w14:paraId="5CF8AD1D">
      <w:pPr>
        <w:widowControl w:val="0"/>
        <w:numPr>
          <w:ilvl w:val="0"/>
          <w:numId w:val="12"/>
        </w:numPr>
        <w:adjustRightInd w:val="0"/>
        <w:snapToGrid w:val="0"/>
        <w:spacing w:after="0" w:line="400" w:lineRule="exact"/>
        <w:jc w:val="left"/>
        <w:rPr>
          <w:rFonts w:ascii="宋体" w:hAnsi="宋体" w:eastAsia="宋体" w:cs="Times New Roman"/>
          <w:b/>
          <w:bCs/>
          <w:sz w:val="24"/>
          <w:szCs w:val="24"/>
          <w:lang w:val="en-US" w:eastAsia="zh-CN"/>
        </w:rPr>
      </w:pPr>
      <w:r>
        <w:rPr>
          <w:rFonts w:ascii="宋体" w:hAnsi="宋体" w:eastAsia="宋体" w:cs="Times New Roman"/>
          <w:b/>
          <w:bCs/>
          <w:sz w:val="24"/>
          <w:szCs w:val="24"/>
          <w:lang w:val="en-US" w:eastAsia="zh-CN"/>
        </w:rPr>
        <w:t>合同未尽事项</w:t>
      </w:r>
    </w:p>
    <w:p w14:paraId="310C6613">
      <w:pPr>
        <w:widowControl w:val="0"/>
        <w:adjustRightInd w:val="0"/>
        <w:snapToGrid w:val="0"/>
        <w:spacing w:after="0" w:line="400" w:lineRule="exact"/>
        <w:ind w:firstLine="420" w:firstLineChars="200"/>
        <w:jc w:val="left"/>
        <w:rPr>
          <w:rFonts w:ascii="宋体" w:hAnsi="宋体" w:eastAsia="宋体" w:cs="Times New Roman"/>
          <w:bCs/>
          <w:lang w:val="en-US" w:eastAsia="zh-CN"/>
        </w:rPr>
      </w:pPr>
      <w:r>
        <w:rPr>
          <w:rFonts w:ascii="宋体" w:hAnsi="宋体" w:eastAsia="宋体" w:cs="Times New Roman"/>
          <w:bCs/>
          <w:lang w:val="en-US" w:eastAsia="zh-CN"/>
        </w:rPr>
        <w:t>23.1合同未尽事项见</w:t>
      </w:r>
      <w:r>
        <w:rPr>
          <w:rFonts w:ascii="宋体" w:hAnsi="宋体" w:eastAsia="宋体" w:cs="Times New Roman"/>
          <w:b/>
          <w:lang w:val="en-US" w:eastAsia="zh-CN"/>
        </w:rPr>
        <w:t>【政府采购合同专用条款】</w:t>
      </w:r>
      <w:r>
        <w:rPr>
          <w:rFonts w:ascii="宋体" w:hAnsi="宋体" w:eastAsia="宋体" w:cs="Times New Roman"/>
          <w:bCs/>
          <w:lang w:val="en-US" w:eastAsia="zh-CN"/>
        </w:rPr>
        <w:t>。</w:t>
      </w:r>
    </w:p>
    <w:p w14:paraId="5CF79AD4">
      <w:pPr>
        <w:widowControl w:val="0"/>
        <w:adjustRightInd w:val="0"/>
        <w:snapToGrid w:val="0"/>
        <w:spacing w:after="0" w:line="400" w:lineRule="exact"/>
        <w:jc w:val="left"/>
        <w:rPr>
          <w:rFonts w:ascii="黑体" w:hAnsi="华文中宋" w:eastAsia="黑体" w:cs="Times New Roman"/>
          <w:sz w:val="28"/>
          <w:szCs w:val="28"/>
          <w:lang w:val="en-US" w:eastAsia="zh-CN"/>
        </w:rPr>
      </w:pPr>
      <w:r>
        <w:rPr>
          <w:rFonts w:ascii="宋体" w:hAnsi="宋体" w:eastAsia="宋体" w:cs="Times New Roman"/>
          <w:bCs/>
          <w:lang w:val="en-US" w:eastAsia="zh-CN"/>
        </w:rPr>
        <w:t xml:space="preserve">    23.2 合同附件与合同正文具有同等的法律效力。</w:t>
      </w:r>
    </w:p>
    <w:p w14:paraId="5EDE22BB">
      <w:pPr>
        <w:widowControl w:val="0"/>
        <w:adjustRightInd w:val="0"/>
        <w:snapToGrid w:val="0"/>
        <w:spacing w:after="0" w:line="240" w:lineRule="auto"/>
        <w:jc w:val="center"/>
        <w:rPr>
          <w:rFonts w:ascii="黑体" w:hAnsi="华文中宋" w:eastAsia="黑体" w:cs="Times New Roman"/>
          <w:sz w:val="28"/>
          <w:szCs w:val="28"/>
          <w:lang w:val="en-US" w:eastAsia="zh-CN"/>
        </w:rPr>
      </w:pPr>
    </w:p>
    <w:p w14:paraId="1BF0FEDA">
      <w:pPr>
        <w:keepNext/>
        <w:keepLines/>
        <w:widowControl w:val="0"/>
        <w:adjustRightInd w:val="0"/>
        <w:snapToGrid w:val="0"/>
        <w:spacing w:after="0" w:line="400" w:lineRule="exact"/>
        <w:jc w:val="center"/>
        <w:outlineLvl w:val="1"/>
        <w:rPr>
          <w:rFonts w:ascii="黑体" w:hAnsi="黑体" w:eastAsia="黑体" w:cs="Times New Roman"/>
          <w:sz w:val="28"/>
          <w:szCs w:val="28"/>
          <w:lang w:val="en-US" w:eastAsia="zh-CN"/>
        </w:rPr>
      </w:pPr>
      <w:r>
        <w:rPr>
          <w:rFonts w:ascii="黑体" w:hAnsi="华文中宋" w:eastAsia="黑体" w:cs="Times New Roman"/>
          <w:sz w:val="28"/>
          <w:szCs w:val="28"/>
          <w:lang w:val="en-US" w:eastAsia="zh-CN"/>
        </w:rPr>
        <w:br w:type="page"/>
      </w:r>
      <w:r>
        <w:rPr>
          <w:rFonts w:ascii="黑体" w:hAnsi="黑体" w:eastAsia="黑体" w:cs="Times New Roman"/>
          <w:sz w:val="28"/>
          <w:szCs w:val="28"/>
          <w:lang w:val="en-US" w:eastAsia="zh-CN"/>
        </w:rPr>
        <w:t>第三节 政府采购合同专用条款</w:t>
      </w:r>
    </w:p>
    <w:bookmarkEnd w:id="507"/>
    <w:tbl>
      <w:tblPr>
        <w:tblStyle w:val="51"/>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7D767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5D80B6E">
            <w:pPr>
              <w:adjustRightInd w:val="0"/>
              <w:snapToGrid w:val="0"/>
              <w:jc w:val="center"/>
              <w:rPr>
                <w:rFonts w:ascii="宋体" w:hAnsi="宋体" w:eastAsia="宋体" w:cs="宋体"/>
              </w:rPr>
            </w:pPr>
            <w:r>
              <w:rPr>
                <w:rFonts w:ascii="宋体" w:hAnsi="宋体" w:eastAsia="宋体" w:cs="宋体"/>
              </w:rPr>
              <w:t>第二节</w:t>
            </w:r>
          </w:p>
          <w:p w14:paraId="63C7EB55">
            <w:pPr>
              <w:adjustRightInd w:val="0"/>
              <w:snapToGrid w:val="0"/>
              <w:jc w:val="center"/>
              <w:rPr>
                <w:rFonts w:ascii="宋体" w:hAnsi="宋体" w:eastAsia="宋体" w:cs="宋体"/>
              </w:rPr>
            </w:pPr>
            <w:r>
              <w:rPr>
                <w:rFonts w:ascii="宋体" w:hAnsi="宋体" w:eastAsia="宋体" w:cs="宋体"/>
              </w:rPr>
              <w:t>第1.2（6）项</w:t>
            </w:r>
          </w:p>
        </w:tc>
        <w:tc>
          <w:tcPr>
            <w:tcW w:w="1742" w:type="dxa"/>
            <w:vAlign w:val="center"/>
          </w:tcPr>
          <w:p w14:paraId="10633A14">
            <w:pPr>
              <w:adjustRightInd w:val="0"/>
              <w:snapToGrid w:val="0"/>
              <w:jc w:val="left"/>
              <w:rPr>
                <w:rFonts w:ascii="宋体" w:hAnsi="宋体" w:eastAsia="宋体" w:cs="宋体"/>
              </w:rPr>
            </w:pPr>
            <w:r>
              <w:rPr>
                <w:rFonts w:ascii="宋体" w:hAnsi="宋体" w:eastAsia="宋体" w:cs="宋体"/>
              </w:rPr>
              <w:t>联合体具体要求</w:t>
            </w:r>
          </w:p>
        </w:tc>
        <w:tc>
          <w:tcPr>
            <w:tcW w:w="5170" w:type="dxa"/>
            <w:vAlign w:val="center"/>
          </w:tcPr>
          <w:p w14:paraId="2CCFE13D">
            <w:pPr>
              <w:adjustRightInd w:val="0"/>
              <w:snapToGrid w:val="0"/>
              <w:jc w:val="left"/>
              <w:rPr>
                <w:rFonts w:ascii="宋体" w:hAnsi="宋体" w:eastAsia="宋体" w:cs="宋体"/>
                <w:lang w:val="en-US" w:eastAsia="zh-CN"/>
              </w:rPr>
            </w:pPr>
            <w:r>
              <w:rPr>
                <w:rFonts w:ascii="宋体" w:hAnsi="宋体" w:eastAsia="宋体" w:cs="宋体"/>
                <w:lang w:val="en-US" w:eastAsia="zh-CN"/>
              </w:rPr>
              <w:t>本项目不接受联合体投标。</w:t>
            </w:r>
          </w:p>
        </w:tc>
      </w:tr>
      <w:tr w14:paraId="239B29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017F38A3">
            <w:pPr>
              <w:adjustRightInd w:val="0"/>
              <w:snapToGrid w:val="0"/>
              <w:jc w:val="center"/>
              <w:rPr>
                <w:rFonts w:ascii="宋体" w:hAnsi="宋体" w:eastAsia="宋体" w:cs="宋体"/>
              </w:rPr>
            </w:pPr>
            <w:r>
              <w:rPr>
                <w:rFonts w:ascii="宋体" w:hAnsi="宋体" w:eastAsia="宋体" w:cs="宋体"/>
              </w:rPr>
              <w:t>第二节</w:t>
            </w:r>
          </w:p>
          <w:p w14:paraId="7F6D16CA">
            <w:pPr>
              <w:adjustRightInd w:val="0"/>
              <w:snapToGrid w:val="0"/>
              <w:jc w:val="center"/>
              <w:rPr>
                <w:rFonts w:ascii="宋体" w:hAnsi="宋体" w:eastAsia="宋体" w:cs="宋体"/>
              </w:rPr>
            </w:pPr>
            <w:r>
              <w:rPr>
                <w:rFonts w:ascii="宋体" w:hAnsi="宋体" w:eastAsia="宋体" w:cs="宋体"/>
              </w:rPr>
              <w:t>第1.2（7）项</w:t>
            </w:r>
          </w:p>
        </w:tc>
        <w:tc>
          <w:tcPr>
            <w:tcW w:w="1742" w:type="dxa"/>
            <w:vAlign w:val="center"/>
          </w:tcPr>
          <w:p w14:paraId="1026E518">
            <w:pPr>
              <w:adjustRightInd w:val="0"/>
              <w:snapToGrid w:val="0"/>
              <w:jc w:val="left"/>
              <w:rPr>
                <w:rFonts w:ascii="宋体" w:hAnsi="宋体" w:eastAsia="宋体" w:cs="宋体"/>
              </w:rPr>
            </w:pPr>
            <w:r>
              <w:rPr>
                <w:rFonts w:ascii="宋体" w:hAnsi="宋体" w:eastAsia="宋体" w:cs="宋体"/>
              </w:rPr>
              <w:t>其他术语解释</w:t>
            </w:r>
          </w:p>
        </w:tc>
        <w:tc>
          <w:tcPr>
            <w:tcW w:w="5170" w:type="dxa"/>
            <w:vAlign w:val="center"/>
          </w:tcPr>
          <w:p w14:paraId="3C79020B">
            <w:pPr>
              <w:adjustRightInd w:val="0"/>
              <w:snapToGrid w:val="0"/>
              <w:jc w:val="left"/>
              <w:rPr>
                <w:rFonts w:ascii="宋体" w:hAnsi="宋体" w:eastAsia="宋体" w:cs="宋体"/>
                <w:lang w:val="en-US" w:eastAsia="zh-CN"/>
              </w:rPr>
            </w:pPr>
            <w:r>
              <w:rPr>
                <w:rFonts w:ascii="宋体" w:hAnsi="宋体" w:eastAsia="宋体" w:cs="宋体"/>
                <w:lang w:val="en-US" w:eastAsia="zh-CN"/>
              </w:rPr>
              <w:t>无。</w:t>
            </w:r>
          </w:p>
        </w:tc>
      </w:tr>
      <w:tr w14:paraId="4A6EC8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A4E0AE">
            <w:pPr>
              <w:adjustRightInd w:val="0"/>
              <w:snapToGrid w:val="0"/>
              <w:jc w:val="center"/>
              <w:rPr>
                <w:rFonts w:ascii="宋体" w:hAnsi="宋体" w:eastAsia="宋体" w:cs="宋体"/>
              </w:rPr>
            </w:pPr>
            <w:r>
              <w:rPr>
                <w:rFonts w:ascii="宋体" w:hAnsi="宋体" w:eastAsia="宋体" w:cs="宋体"/>
              </w:rPr>
              <w:t>第二节</w:t>
            </w:r>
          </w:p>
          <w:p w14:paraId="3CF4D7D5">
            <w:pPr>
              <w:adjustRightInd w:val="0"/>
              <w:snapToGrid w:val="0"/>
              <w:jc w:val="center"/>
              <w:rPr>
                <w:rFonts w:ascii="宋体" w:hAnsi="宋体" w:eastAsia="宋体" w:cs="宋体"/>
              </w:rPr>
            </w:pPr>
            <w:r>
              <w:rPr>
                <w:rFonts w:ascii="宋体" w:hAnsi="宋体" w:eastAsia="宋体" w:cs="宋体"/>
              </w:rPr>
              <w:t>第4.4款</w:t>
            </w:r>
          </w:p>
        </w:tc>
        <w:tc>
          <w:tcPr>
            <w:tcW w:w="1742" w:type="dxa"/>
            <w:vAlign w:val="center"/>
          </w:tcPr>
          <w:p w14:paraId="5D3E94D1">
            <w:pPr>
              <w:adjustRightInd w:val="0"/>
              <w:snapToGrid w:val="0"/>
              <w:jc w:val="left"/>
              <w:rPr>
                <w:rFonts w:ascii="宋体" w:hAnsi="宋体" w:eastAsia="宋体" w:cs="宋体"/>
                <w:lang w:eastAsia="zh-CN"/>
              </w:rPr>
            </w:pPr>
            <w:r>
              <w:rPr>
                <w:rFonts w:ascii="宋体" w:hAnsi="宋体" w:eastAsia="宋体" w:cs="宋体"/>
                <w:lang w:eastAsia="zh-CN"/>
              </w:rPr>
              <w:t>履约验收中甲方提出异议或作出说明的期限</w:t>
            </w:r>
          </w:p>
        </w:tc>
        <w:tc>
          <w:tcPr>
            <w:tcW w:w="5170" w:type="dxa"/>
            <w:vAlign w:val="center"/>
          </w:tcPr>
          <w:p w14:paraId="19B87530">
            <w:pPr>
              <w:adjustRightInd w:val="0"/>
              <w:snapToGrid w:val="0"/>
              <w:jc w:val="left"/>
              <w:rPr>
                <w:rFonts w:ascii="宋体" w:hAnsi="宋体" w:eastAsia="宋体" w:cs="宋体"/>
                <w:lang w:val="en-US" w:eastAsia="zh-CN"/>
              </w:rPr>
            </w:pPr>
            <w:r>
              <w:rPr>
                <w:rFonts w:ascii="宋体" w:hAnsi="宋体" w:eastAsia="宋体" w:cs="Times New Roman"/>
                <w:color w:val="auto"/>
                <w:lang w:val="en-US" w:eastAsia="zh-CN"/>
              </w:rPr>
              <w:t>乙方提出验收申请之日起15个工作</w:t>
            </w:r>
            <w:r>
              <w:rPr>
                <w:rFonts w:hint="default" w:ascii="宋体" w:hAnsi="宋体" w:eastAsia="宋体" w:cs="Times New Roman"/>
                <w:color w:val="auto"/>
                <w:lang w:val="en-US" w:eastAsia="zh-CN"/>
              </w:rPr>
              <w:t>日内</w:t>
            </w:r>
            <w:r>
              <w:rPr>
                <w:rFonts w:ascii="宋体" w:hAnsi="宋体" w:eastAsia="宋体" w:cs="宋体"/>
                <w:lang w:val="en-US" w:eastAsia="zh-CN"/>
              </w:rPr>
              <w:t>。</w:t>
            </w:r>
          </w:p>
        </w:tc>
      </w:tr>
      <w:tr w14:paraId="792CEA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600D399">
            <w:pPr>
              <w:adjustRightInd w:val="0"/>
              <w:snapToGrid w:val="0"/>
              <w:jc w:val="center"/>
              <w:rPr>
                <w:rFonts w:ascii="宋体" w:hAnsi="宋体" w:eastAsia="宋体" w:cs="宋体"/>
              </w:rPr>
            </w:pPr>
            <w:r>
              <w:rPr>
                <w:rFonts w:ascii="宋体" w:hAnsi="宋体" w:eastAsia="宋体" w:cs="宋体"/>
              </w:rPr>
              <w:t>第二节</w:t>
            </w:r>
          </w:p>
          <w:p w14:paraId="3D258E9B">
            <w:pPr>
              <w:adjustRightInd w:val="0"/>
              <w:snapToGrid w:val="0"/>
              <w:jc w:val="center"/>
              <w:rPr>
                <w:rFonts w:ascii="宋体" w:hAnsi="宋体" w:eastAsia="宋体" w:cs="宋体"/>
              </w:rPr>
            </w:pPr>
            <w:r>
              <w:rPr>
                <w:rFonts w:ascii="宋体" w:hAnsi="宋体" w:eastAsia="宋体" w:cs="宋体"/>
              </w:rPr>
              <w:t>第4.6款</w:t>
            </w:r>
          </w:p>
        </w:tc>
        <w:tc>
          <w:tcPr>
            <w:tcW w:w="1742" w:type="dxa"/>
            <w:vAlign w:val="center"/>
          </w:tcPr>
          <w:p w14:paraId="77585B11">
            <w:pPr>
              <w:adjustRightInd w:val="0"/>
              <w:snapToGrid w:val="0"/>
              <w:jc w:val="left"/>
              <w:rPr>
                <w:rFonts w:ascii="宋体" w:hAnsi="宋体" w:eastAsia="宋体" w:cs="宋体"/>
                <w:lang w:eastAsia="zh-CN"/>
              </w:rPr>
            </w:pPr>
            <w:r>
              <w:rPr>
                <w:rFonts w:ascii="宋体" w:hAnsi="宋体" w:eastAsia="宋体" w:cs="宋体"/>
                <w:lang w:eastAsia="zh-CN"/>
              </w:rPr>
              <w:t>约定甲方承担的其他义务和责任</w:t>
            </w:r>
          </w:p>
        </w:tc>
        <w:tc>
          <w:tcPr>
            <w:tcW w:w="5170" w:type="dxa"/>
            <w:vAlign w:val="center"/>
          </w:tcPr>
          <w:p w14:paraId="51F2DBEB">
            <w:pPr>
              <w:adjustRightInd w:val="0"/>
              <w:snapToGrid w:val="0"/>
              <w:jc w:val="left"/>
              <w:rPr>
                <w:rFonts w:ascii="宋体" w:hAnsi="宋体" w:eastAsia="宋体" w:cs="宋体"/>
                <w:lang w:eastAsia="zh-CN"/>
              </w:rPr>
            </w:pPr>
            <w:r>
              <w:rPr>
                <w:rFonts w:ascii="宋体" w:hAnsi="宋体" w:eastAsia="宋体" w:cs="宋体"/>
                <w:lang w:eastAsia="zh-CN"/>
              </w:rPr>
              <w:t>（1）按照合同规定的方式和期限向乙方支付相应的费用。</w:t>
            </w:r>
          </w:p>
          <w:p w14:paraId="6D64804D">
            <w:pPr>
              <w:adjustRightInd w:val="0"/>
              <w:snapToGrid w:val="0"/>
              <w:jc w:val="left"/>
              <w:rPr>
                <w:rFonts w:ascii="宋体" w:hAnsi="宋体" w:eastAsia="宋体" w:cs="宋体"/>
              </w:rPr>
            </w:pPr>
            <w:r>
              <w:rPr>
                <w:rFonts w:ascii="宋体" w:hAnsi="宋体" w:eastAsia="宋体" w:cs="宋体"/>
              </w:rPr>
              <w:t>（2）向乙方提供必要的支持。</w:t>
            </w:r>
          </w:p>
          <w:p w14:paraId="4BD288EB">
            <w:pPr>
              <w:adjustRightInd w:val="0"/>
              <w:snapToGrid w:val="0"/>
              <w:jc w:val="left"/>
              <w:rPr>
                <w:rFonts w:ascii="宋体" w:hAnsi="宋体" w:eastAsia="宋体" w:cs="宋体"/>
                <w:lang w:eastAsia="zh-CN"/>
              </w:rPr>
            </w:pPr>
            <w:r>
              <w:rPr>
                <w:rFonts w:ascii="宋体" w:hAnsi="宋体" w:eastAsia="宋体" w:cs="宋体"/>
                <w:lang w:eastAsia="zh-CN"/>
              </w:rPr>
              <w:t>（3）保证提供的信息和资料真实、准确、完整。</w:t>
            </w:r>
          </w:p>
          <w:p w14:paraId="3109B3DA">
            <w:pPr>
              <w:adjustRightInd w:val="0"/>
              <w:snapToGrid w:val="0"/>
              <w:jc w:val="left"/>
              <w:rPr>
                <w:rFonts w:ascii="宋体" w:hAnsi="宋体" w:eastAsia="宋体" w:cs="宋体"/>
                <w:lang w:eastAsia="zh-CN"/>
              </w:rPr>
            </w:pPr>
            <w:r>
              <w:rPr>
                <w:rFonts w:ascii="宋体" w:hAnsi="宋体" w:eastAsia="宋体" w:cs="宋体"/>
                <w:lang w:eastAsia="zh-CN"/>
              </w:rPr>
              <w:t>（4）保护乙方的商业秘密。</w:t>
            </w:r>
          </w:p>
          <w:p w14:paraId="3930E832">
            <w:pPr>
              <w:adjustRightInd w:val="0"/>
              <w:snapToGrid w:val="0"/>
              <w:jc w:val="left"/>
              <w:rPr>
                <w:rFonts w:ascii="宋体" w:hAnsi="宋体" w:eastAsia="宋体" w:cs="宋体"/>
                <w:lang w:eastAsia="zh-CN"/>
              </w:rPr>
            </w:pPr>
            <w:r>
              <w:rPr>
                <w:rFonts w:ascii="宋体" w:hAnsi="宋体" w:eastAsia="宋体" w:cs="宋体"/>
                <w:lang w:eastAsia="zh-CN"/>
              </w:rPr>
              <w:t>（5）其他经双方协商一致的义务。</w:t>
            </w:r>
          </w:p>
        </w:tc>
      </w:tr>
      <w:tr w14:paraId="73B16D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A475100">
            <w:pPr>
              <w:adjustRightInd w:val="0"/>
              <w:snapToGrid w:val="0"/>
              <w:jc w:val="center"/>
              <w:rPr>
                <w:rFonts w:ascii="宋体" w:hAnsi="宋体" w:eastAsia="宋体" w:cs="宋体"/>
              </w:rPr>
            </w:pPr>
            <w:r>
              <w:rPr>
                <w:rFonts w:ascii="宋体" w:hAnsi="宋体" w:eastAsia="宋体" w:cs="宋体"/>
              </w:rPr>
              <w:t>第二节</w:t>
            </w:r>
          </w:p>
          <w:p w14:paraId="25975C8C">
            <w:pPr>
              <w:snapToGrid w:val="0"/>
              <w:jc w:val="center"/>
              <w:rPr>
                <w:rFonts w:ascii="宋体" w:hAnsi="宋体" w:eastAsia="宋体" w:cs="宋体"/>
              </w:rPr>
            </w:pPr>
            <w:r>
              <w:rPr>
                <w:rFonts w:ascii="宋体" w:hAnsi="宋体" w:eastAsia="宋体" w:cs="宋体"/>
              </w:rPr>
              <w:t>第5.4款</w:t>
            </w:r>
          </w:p>
        </w:tc>
        <w:tc>
          <w:tcPr>
            <w:tcW w:w="1742" w:type="dxa"/>
            <w:vAlign w:val="center"/>
          </w:tcPr>
          <w:p w14:paraId="67DADEFF">
            <w:pPr>
              <w:adjustRightInd w:val="0"/>
              <w:snapToGrid w:val="0"/>
              <w:jc w:val="left"/>
              <w:rPr>
                <w:rFonts w:ascii="宋体" w:hAnsi="宋体" w:eastAsia="宋体" w:cs="宋体"/>
                <w:lang w:eastAsia="zh-CN"/>
              </w:rPr>
            </w:pPr>
            <w:r>
              <w:rPr>
                <w:rFonts w:ascii="宋体" w:hAnsi="宋体" w:eastAsia="宋体" w:cs="宋体"/>
                <w:lang w:eastAsia="zh-CN"/>
              </w:rPr>
              <w:t>约定乙方承担的其他义务和责任</w:t>
            </w:r>
          </w:p>
        </w:tc>
        <w:tc>
          <w:tcPr>
            <w:tcW w:w="5170" w:type="dxa"/>
            <w:vAlign w:val="center"/>
          </w:tcPr>
          <w:p w14:paraId="65207A57">
            <w:pPr>
              <w:adjustRightInd w:val="0"/>
              <w:snapToGrid w:val="0"/>
              <w:jc w:val="left"/>
              <w:rPr>
                <w:rFonts w:ascii="宋体" w:hAnsi="宋体" w:eastAsia="宋体" w:cs="宋体"/>
                <w:lang w:eastAsia="zh-CN"/>
              </w:rPr>
            </w:pPr>
            <w:r>
              <w:rPr>
                <w:rFonts w:ascii="宋体" w:hAnsi="宋体" w:eastAsia="宋体" w:cs="宋体"/>
                <w:lang w:eastAsia="zh-CN"/>
              </w:rPr>
              <w:t>（1）按照合同规定的方式和期限提供产品和/或服务。</w:t>
            </w:r>
          </w:p>
          <w:p w14:paraId="6CD837DE">
            <w:pPr>
              <w:adjustRightInd w:val="0"/>
              <w:snapToGrid w:val="0"/>
              <w:jc w:val="left"/>
              <w:rPr>
                <w:rFonts w:ascii="宋体" w:hAnsi="宋体" w:eastAsia="宋体" w:cs="宋体"/>
                <w:lang w:eastAsia="zh-CN"/>
              </w:rPr>
            </w:pPr>
            <w:r>
              <w:rPr>
                <w:rFonts w:ascii="宋体" w:hAnsi="宋体" w:eastAsia="宋体" w:cs="宋体"/>
                <w:lang w:eastAsia="zh-CN"/>
              </w:rPr>
              <w:t>（2）对所提供的产品和/或服务，要求其符合国家相关法律法规的要求。</w:t>
            </w:r>
          </w:p>
          <w:p w14:paraId="14AC7105">
            <w:pPr>
              <w:adjustRightInd w:val="0"/>
              <w:snapToGrid w:val="0"/>
              <w:jc w:val="left"/>
              <w:rPr>
                <w:rFonts w:ascii="宋体" w:hAnsi="宋体" w:eastAsia="宋体" w:cs="宋体"/>
                <w:lang w:eastAsia="zh-CN"/>
              </w:rPr>
            </w:pPr>
            <w:r>
              <w:rPr>
                <w:rFonts w:ascii="宋体" w:hAnsi="宋体" w:eastAsia="宋体" w:cs="宋体"/>
                <w:lang w:eastAsia="zh-CN"/>
              </w:rPr>
              <w:t>（3）保证所提供的信息和资料真实、准确、完整。</w:t>
            </w:r>
          </w:p>
          <w:p w14:paraId="291724B9">
            <w:pPr>
              <w:adjustRightInd w:val="0"/>
              <w:snapToGrid w:val="0"/>
              <w:jc w:val="left"/>
              <w:rPr>
                <w:rFonts w:ascii="宋体" w:hAnsi="宋体" w:eastAsia="宋体" w:cs="宋体"/>
                <w:lang w:eastAsia="zh-CN"/>
              </w:rPr>
            </w:pPr>
            <w:r>
              <w:rPr>
                <w:rFonts w:ascii="宋体" w:hAnsi="宋体" w:eastAsia="宋体" w:cs="宋体"/>
                <w:lang w:eastAsia="zh-CN"/>
              </w:rPr>
              <w:t>（4）保护甲方的商业秘密。</w:t>
            </w:r>
          </w:p>
          <w:p w14:paraId="2E5968FC">
            <w:pPr>
              <w:adjustRightInd w:val="0"/>
              <w:snapToGrid w:val="0"/>
              <w:jc w:val="left"/>
              <w:rPr>
                <w:rFonts w:ascii="宋体" w:hAnsi="宋体" w:eastAsia="宋体" w:cs="宋体"/>
                <w:lang w:eastAsia="zh-CN"/>
              </w:rPr>
            </w:pPr>
            <w:r>
              <w:rPr>
                <w:rFonts w:ascii="宋体" w:hAnsi="宋体" w:eastAsia="宋体" w:cs="宋体"/>
                <w:lang w:eastAsia="zh-CN"/>
              </w:rPr>
              <w:t>（5）不侵犯甲方的知识产权。</w:t>
            </w:r>
          </w:p>
          <w:p w14:paraId="2AC7B5F8">
            <w:pPr>
              <w:adjustRightInd w:val="0"/>
              <w:snapToGrid w:val="0"/>
              <w:jc w:val="left"/>
              <w:rPr>
                <w:rFonts w:ascii="宋体" w:hAnsi="宋体" w:eastAsia="宋体" w:cs="宋体"/>
                <w:lang w:eastAsia="zh-CN"/>
              </w:rPr>
            </w:pPr>
            <w:r>
              <w:rPr>
                <w:rFonts w:ascii="宋体" w:hAnsi="宋体" w:eastAsia="宋体" w:cs="宋体"/>
                <w:lang w:eastAsia="zh-CN"/>
              </w:rPr>
              <w:t>（6）其他经双方协商一致的义务。</w:t>
            </w:r>
          </w:p>
        </w:tc>
      </w:tr>
      <w:tr w14:paraId="551BF1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95CD554">
            <w:pPr>
              <w:adjustRightInd w:val="0"/>
              <w:snapToGrid w:val="0"/>
              <w:jc w:val="center"/>
              <w:rPr>
                <w:rFonts w:ascii="宋体" w:hAnsi="宋体" w:eastAsia="宋体" w:cs="宋体"/>
              </w:rPr>
            </w:pPr>
            <w:r>
              <w:rPr>
                <w:rFonts w:ascii="宋体" w:hAnsi="宋体" w:eastAsia="宋体" w:cs="宋体"/>
              </w:rPr>
              <w:t>第二节</w:t>
            </w:r>
          </w:p>
          <w:p w14:paraId="193BA9B0">
            <w:pPr>
              <w:snapToGrid w:val="0"/>
              <w:jc w:val="center"/>
              <w:rPr>
                <w:rFonts w:ascii="宋体" w:hAnsi="宋体" w:eastAsia="宋体" w:cs="宋体"/>
              </w:rPr>
            </w:pPr>
            <w:r>
              <w:rPr>
                <w:rFonts w:ascii="宋体" w:hAnsi="宋体" w:eastAsia="宋体" w:cs="宋体"/>
              </w:rPr>
              <w:t>第6.1款</w:t>
            </w:r>
          </w:p>
        </w:tc>
        <w:tc>
          <w:tcPr>
            <w:tcW w:w="1742" w:type="dxa"/>
            <w:vAlign w:val="center"/>
          </w:tcPr>
          <w:p w14:paraId="6A9C0DD6">
            <w:pPr>
              <w:adjustRightInd w:val="0"/>
              <w:snapToGrid w:val="0"/>
              <w:jc w:val="left"/>
              <w:rPr>
                <w:rFonts w:ascii="宋体" w:hAnsi="宋体" w:eastAsia="宋体" w:cs="宋体"/>
              </w:rPr>
            </w:pPr>
            <w:r>
              <w:rPr>
                <w:rFonts w:ascii="宋体" w:hAnsi="宋体" w:eastAsia="宋体" w:cs="宋体"/>
              </w:rPr>
              <w:t>履行合同义务的顺序</w:t>
            </w:r>
          </w:p>
        </w:tc>
        <w:tc>
          <w:tcPr>
            <w:tcW w:w="5170" w:type="dxa"/>
            <w:vAlign w:val="center"/>
          </w:tcPr>
          <w:p w14:paraId="00A4EEA2">
            <w:pPr>
              <w:adjustRightInd w:val="0"/>
              <w:snapToGrid w:val="0"/>
              <w:jc w:val="left"/>
              <w:rPr>
                <w:rFonts w:ascii="宋体" w:hAnsi="宋体" w:eastAsia="宋体" w:cs="宋体"/>
                <w:lang w:val="en-US" w:eastAsia="zh-CN"/>
              </w:rPr>
            </w:pPr>
            <w:r>
              <w:rPr>
                <w:rFonts w:ascii="宋体" w:hAnsi="宋体" w:eastAsia="宋体" w:cs="宋体"/>
                <w:lang w:val="en-US" w:eastAsia="zh-CN"/>
              </w:rPr>
              <w:t>无。</w:t>
            </w:r>
          </w:p>
        </w:tc>
      </w:tr>
      <w:tr w14:paraId="30AD37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C7BAEC4">
            <w:pPr>
              <w:adjustRightInd w:val="0"/>
              <w:snapToGrid w:val="0"/>
              <w:jc w:val="center"/>
              <w:rPr>
                <w:rFonts w:ascii="宋体" w:hAnsi="宋体" w:eastAsia="宋体" w:cs="宋体"/>
              </w:rPr>
            </w:pPr>
            <w:r>
              <w:rPr>
                <w:rFonts w:ascii="宋体" w:hAnsi="宋体" w:eastAsia="宋体" w:cs="宋体"/>
              </w:rPr>
              <w:t>第二节</w:t>
            </w:r>
          </w:p>
          <w:p w14:paraId="115100B1">
            <w:pPr>
              <w:adjustRightInd w:val="0"/>
              <w:snapToGrid w:val="0"/>
              <w:jc w:val="center"/>
              <w:rPr>
                <w:rFonts w:ascii="宋体" w:hAnsi="宋体" w:eastAsia="宋体" w:cs="宋体"/>
              </w:rPr>
            </w:pPr>
            <w:r>
              <w:rPr>
                <w:rFonts w:ascii="宋体" w:hAnsi="宋体" w:eastAsia="宋体" w:cs="宋体"/>
              </w:rPr>
              <w:t>第7.1款</w:t>
            </w:r>
          </w:p>
        </w:tc>
        <w:tc>
          <w:tcPr>
            <w:tcW w:w="1742" w:type="dxa"/>
            <w:vAlign w:val="center"/>
          </w:tcPr>
          <w:p w14:paraId="7BF86E64">
            <w:pPr>
              <w:adjustRightInd w:val="0"/>
              <w:snapToGrid w:val="0"/>
              <w:jc w:val="left"/>
              <w:rPr>
                <w:rFonts w:ascii="宋体" w:hAnsi="宋体" w:eastAsia="宋体" w:cs="宋体"/>
              </w:rPr>
            </w:pPr>
            <w:r>
              <w:rPr>
                <w:rFonts w:ascii="宋体" w:hAnsi="宋体" w:eastAsia="宋体" w:cs="宋体"/>
              </w:rPr>
              <w:t>包装特殊要求</w:t>
            </w:r>
          </w:p>
        </w:tc>
        <w:tc>
          <w:tcPr>
            <w:tcW w:w="5170" w:type="dxa"/>
            <w:vAlign w:val="center"/>
          </w:tcPr>
          <w:p w14:paraId="59EC95E5">
            <w:pPr>
              <w:adjustRightInd w:val="0"/>
              <w:snapToGrid w:val="0"/>
              <w:jc w:val="left"/>
              <w:rPr>
                <w:rFonts w:ascii="宋体" w:hAnsi="宋体" w:eastAsia="宋体" w:cs="宋体"/>
              </w:rPr>
            </w:pPr>
            <w:r>
              <w:rPr>
                <w:rFonts w:ascii="宋体" w:hAnsi="宋体" w:eastAsia="宋体" w:cs="宋体"/>
                <w:lang w:val="en-US" w:eastAsia="zh-CN"/>
              </w:rPr>
              <w:t>无。</w:t>
            </w:r>
          </w:p>
        </w:tc>
      </w:tr>
      <w:tr w14:paraId="20A42B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D1F1D04">
            <w:pPr>
              <w:adjustRightInd w:val="0"/>
              <w:snapToGrid w:val="0"/>
              <w:jc w:val="center"/>
              <w:rPr>
                <w:rFonts w:ascii="宋体" w:hAnsi="宋体" w:eastAsia="宋体" w:cs="宋体"/>
              </w:rPr>
            </w:pPr>
          </w:p>
        </w:tc>
        <w:tc>
          <w:tcPr>
            <w:tcW w:w="1742" w:type="dxa"/>
            <w:vAlign w:val="center"/>
          </w:tcPr>
          <w:p w14:paraId="260FDA98">
            <w:pPr>
              <w:adjustRightInd w:val="0"/>
              <w:snapToGrid w:val="0"/>
              <w:jc w:val="left"/>
              <w:rPr>
                <w:rFonts w:ascii="宋体" w:hAnsi="宋体" w:eastAsia="宋体" w:cs="宋体"/>
              </w:rPr>
            </w:pPr>
            <w:r>
              <w:rPr>
                <w:rFonts w:ascii="宋体" w:hAnsi="宋体" w:eastAsia="宋体" w:cs="宋体"/>
              </w:rPr>
              <w:t>指定现场</w:t>
            </w:r>
          </w:p>
        </w:tc>
        <w:tc>
          <w:tcPr>
            <w:tcW w:w="5170" w:type="dxa"/>
            <w:vAlign w:val="center"/>
          </w:tcPr>
          <w:p w14:paraId="4A60737C">
            <w:pPr>
              <w:rPr>
                <w:rFonts w:ascii="宋体" w:hAnsi="宋体" w:eastAsia="宋体" w:cs="宋体"/>
                <w:lang w:val="en-US" w:eastAsia="zh-CN"/>
              </w:rPr>
            </w:pPr>
            <w:r>
              <w:rPr>
                <w:rFonts w:ascii="宋体" w:hAnsi="宋体" w:eastAsia="宋体" w:cs="宋体"/>
                <w:lang w:val="en-US" w:eastAsia="zh-CN"/>
              </w:rPr>
              <w:t>新乡医学院第一附属医院</w:t>
            </w:r>
            <w:r>
              <w:rPr>
                <w:rFonts w:hint="default" w:ascii="宋体" w:hAnsi="宋体" w:eastAsia="宋体" w:cs="宋体"/>
                <w:lang w:val="en-US" w:eastAsia="zh-CN"/>
              </w:rPr>
              <w:t>（卫辉市健康路88号）</w:t>
            </w:r>
          </w:p>
        </w:tc>
      </w:tr>
      <w:tr w14:paraId="144108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280F3AF1">
            <w:pPr>
              <w:adjustRightInd w:val="0"/>
              <w:snapToGrid w:val="0"/>
              <w:jc w:val="center"/>
              <w:rPr>
                <w:rFonts w:ascii="宋体" w:hAnsi="宋体" w:eastAsia="宋体" w:cs="宋体"/>
              </w:rPr>
            </w:pPr>
            <w:r>
              <w:rPr>
                <w:rFonts w:ascii="宋体" w:hAnsi="宋体" w:eastAsia="宋体" w:cs="宋体"/>
              </w:rPr>
              <w:t>第二节</w:t>
            </w:r>
          </w:p>
          <w:p w14:paraId="22CB90AE">
            <w:pPr>
              <w:adjustRightInd w:val="0"/>
              <w:snapToGrid w:val="0"/>
              <w:jc w:val="center"/>
              <w:rPr>
                <w:rFonts w:ascii="宋体" w:hAnsi="宋体" w:eastAsia="宋体" w:cs="宋体"/>
              </w:rPr>
            </w:pPr>
            <w:r>
              <w:rPr>
                <w:rFonts w:ascii="宋体" w:hAnsi="宋体" w:eastAsia="宋体" w:cs="宋体"/>
              </w:rPr>
              <w:t>第7.2款</w:t>
            </w:r>
          </w:p>
        </w:tc>
        <w:tc>
          <w:tcPr>
            <w:tcW w:w="1742" w:type="dxa"/>
            <w:vAlign w:val="center"/>
          </w:tcPr>
          <w:p w14:paraId="6693A6FF">
            <w:pPr>
              <w:adjustRightInd w:val="0"/>
              <w:snapToGrid w:val="0"/>
              <w:jc w:val="left"/>
              <w:rPr>
                <w:rFonts w:ascii="宋体" w:hAnsi="宋体" w:eastAsia="宋体" w:cs="宋体"/>
              </w:rPr>
            </w:pPr>
            <w:r>
              <w:rPr>
                <w:rFonts w:ascii="宋体" w:hAnsi="宋体" w:eastAsia="宋体" w:cs="宋体"/>
              </w:rPr>
              <w:t>运输特殊要求</w:t>
            </w:r>
          </w:p>
        </w:tc>
        <w:tc>
          <w:tcPr>
            <w:tcW w:w="5170" w:type="dxa"/>
            <w:vAlign w:val="center"/>
          </w:tcPr>
          <w:p w14:paraId="10E91A26">
            <w:pPr>
              <w:rPr>
                <w:rFonts w:ascii="宋体" w:hAnsi="宋体" w:eastAsia="宋体" w:cs="宋体"/>
                <w:lang w:eastAsia="zh-CN"/>
              </w:rPr>
            </w:pPr>
            <w:r>
              <w:rPr>
                <w:rFonts w:ascii="宋体" w:hAnsi="宋体" w:eastAsia="宋体" w:cs="宋体"/>
                <w:lang w:val="en-US" w:eastAsia="zh-CN"/>
              </w:rPr>
              <w:t>无。</w:t>
            </w:r>
          </w:p>
        </w:tc>
      </w:tr>
      <w:tr w14:paraId="68BAC5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3D047281">
            <w:pPr>
              <w:adjustRightInd w:val="0"/>
              <w:snapToGrid w:val="0"/>
              <w:jc w:val="center"/>
              <w:rPr>
                <w:rFonts w:ascii="宋体" w:hAnsi="宋体" w:eastAsia="宋体" w:cs="宋体"/>
              </w:rPr>
            </w:pPr>
            <w:r>
              <w:rPr>
                <w:rFonts w:ascii="宋体" w:hAnsi="宋体" w:eastAsia="宋体" w:cs="宋体"/>
              </w:rPr>
              <w:t>第二节</w:t>
            </w:r>
          </w:p>
          <w:p w14:paraId="1748F2A4">
            <w:pPr>
              <w:adjustRightInd w:val="0"/>
              <w:snapToGrid w:val="0"/>
              <w:jc w:val="center"/>
              <w:rPr>
                <w:rFonts w:ascii="宋体" w:hAnsi="宋体" w:eastAsia="宋体" w:cs="宋体"/>
              </w:rPr>
            </w:pPr>
            <w:r>
              <w:rPr>
                <w:rFonts w:ascii="宋体" w:hAnsi="宋体" w:eastAsia="宋体" w:cs="宋体"/>
              </w:rPr>
              <w:t>第7.3款</w:t>
            </w:r>
          </w:p>
        </w:tc>
        <w:tc>
          <w:tcPr>
            <w:tcW w:w="1742" w:type="dxa"/>
            <w:vAlign w:val="center"/>
          </w:tcPr>
          <w:p w14:paraId="6C9B4BE5">
            <w:pPr>
              <w:adjustRightInd w:val="0"/>
              <w:snapToGrid w:val="0"/>
              <w:jc w:val="left"/>
              <w:rPr>
                <w:rFonts w:ascii="宋体" w:hAnsi="宋体" w:eastAsia="宋体" w:cs="宋体"/>
              </w:rPr>
            </w:pPr>
            <w:r>
              <w:rPr>
                <w:rFonts w:ascii="宋体" w:hAnsi="宋体" w:eastAsia="宋体" w:cs="宋体"/>
              </w:rPr>
              <w:t>保险要求</w:t>
            </w:r>
          </w:p>
        </w:tc>
        <w:tc>
          <w:tcPr>
            <w:tcW w:w="5170" w:type="dxa"/>
            <w:vAlign w:val="center"/>
          </w:tcPr>
          <w:p w14:paraId="7A6C24FC">
            <w:pPr>
              <w:rPr>
                <w:rFonts w:ascii="宋体" w:hAnsi="宋体" w:eastAsia="宋体" w:cs="宋体"/>
                <w:lang w:val="en-US" w:eastAsia="zh-CN"/>
              </w:rPr>
            </w:pPr>
            <w:r>
              <w:rPr>
                <w:rFonts w:ascii="宋体" w:hAnsi="宋体" w:eastAsia="宋体" w:cs="宋体"/>
                <w:lang w:val="en-US" w:eastAsia="zh-CN"/>
              </w:rPr>
              <w:t>无。</w:t>
            </w:r>
          </w:p>
        </w:tc>
      </w:tr>
      <w:tr w14:paraId="39EEFA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A8F8A3">
            <w:pPr>
              <w:adjustRightInd w:val="0"/>
              <w:snapToGrid w:val="0"/>
              <w:jc w:val="center"/>
              <w:rPr>
                <w:rFonts w:ascii="宋体" w:hAnsi="宋体" w:eastAsia="宋体" w:cs="宋体"/>
              </w:rPr>
            </w:pPr>
            <w:r>
              <w:rPr>
                <w:rFonts w:ascii="宋体" w:hAnsi="宋体" w:eastAsia="宋体" w:cs="宋体"/>
              </w:rPr>
              <w:t>第二节</w:t>
            </w:r>
          </w:p>
          <w:p w14:paraId="549F1186">
            <w:pPr>
              <w:adjustRightInd w:val="0"/>
              <w:snapToGrid w:val="0"/>
              <w:jc w:val="center"/>
              <w:rPr>
                <w:rFonts w:ascii="宋体" w:hAnsi="宋体" w:eastAsia="宋体" w:cs="宋体"/>
              </w:rPr>
            </w:pPr>
            <w:r>
              <w:rPr>
                <w:rFonts w:ascii="宋体" w:hAnsi="宋体" w:eastAsia="宋体" w:cs="宋体"/>
              </w:rPr>
              <w:t>第8.2（1）项</w:t>
            </w:r>
          </w:p>
        </w:tc>
        <w:tc>
          <w:tcPr>
            <w:tcW w:w="1742" w:type="dxa"/>
            <w:vAlign w:val="center"/>
          </w:tcPr>
          <w:p w14:paraId="455BAF62">
            <w:pPr>
              <w:adjustRightInd w:val="0"/>
              <w:snapToGrid w:val="0"/>
              <w:jc w:val="left"/>
              <w:rPr>
                <w:rFonts w:ascii="宋体" w:hAnsi="宋体" w:eastAsia="宋体" w:cs="宋体"/>
              </w:rPr>
            </w:pPr>
            <w:r>
              <w:rPr>
                <w:rFonts w:ascii="宋体" w:hAnsi="宋体" w:eastAsia="宋体" w:cs="宋体"/>
              </w:rPr>
              <w:t>质量保证期</w:t>
            </w:r>
          </w:p>
        </w:tc>
        <w:tc>
          <w:tcPr>
            <w:tcW w:w="5170" w:type="dxa"/>
            <w:vAlign w:val="center"/>
          </w:tcPr>
          <w:p w14:paraId="1843B3C2">
            <w:pPr>
              <w:adjustRightInd w:val="0"/>
              <w:snapToGrid w:val="0"/>
              <w:jc w:val="left"/>
              <w:rPr>
                <w:rFonts w:ascii="宋体" w:hAnsi="宋体" w:eastAsia="宋体" w:cs="宋体"/>
                <w:lang w:eastAsia="zh-CN"/>
              </w:rPr>
            </w:pPr>
            <w:r>
              <w:rPr>
                <w:rFonts w:ascii="宋体" w:hAnsi="宋体" w:eastAsia="宋体" w:cs="宋体"/>
                <w:lang w:val="en-US" w:eastAsia="zh-CN"/>
              </w:rPr>
              <w:t>3</w:t>
            </w:r>
            <w:r>
              <w:rPr>
                <w:rFonts w:hint="default" w:ascii="宋体" w:hAnsi="宋体" w:eastAsia="宋体" w:cs="宋体"/>
                <w:lang w:val="en-US" w:eastAsia="zh-CN"/>
              </w:rPr>
              <w:t>年，从验收合格之日起开始计算</w:t>
            </w:r>
            <w:r>
              <w:rPr>
                <w:rFonts w:ascii="宋体" w:hAnsi="宋体" w:eastAsia="宋体" w:cs="宋体"/>
                <w:lang w:val="en-US" w:eastAsia="zh-CN"/>
              </w:rPr>
              <w:t>。</w:t>
            </w:r>
          </w:p>
        </w:tc>
      </w:tr>
      <w:tr w14:paraId="2EA30F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DF8376B">
            <w:pPr>
              <w:adjustRightInd w:val="0"/>
              <w:snapToGrid w:val="0"/>
              <w:jc w:val="center"/>
              <w:rPr>
                <w:rFonts w:ascii="宋体" w:hAnsi="宋体" w:eastAsia="宋体" w:cs="宋体"/>
              </w:rPr>
            </w:pPr>
            <w:r>
              <w:rPr>
                <w:rFonts w:ascii="宋体" w:hAnsi="宋体" w:eastAsia="宋体" w:cs="宋体"/>
              </w:rPr>
              <w:t>第二节</w:t>
            </w:r>
          </w:p>
          <w:p w14:paraId="7CE82F78">
            <w:pPr>
              <w:adjustRightInd w:val="0"/>
              <w:snapToGrid w:val="0"/>
              <w:jc w:val="center"/>
              <w:rPr>
                <w:rFonts w:ascii="宋体" w:hAnsi="宋体" w:eastAsia="宋体" w:cs="宋体"/>
              </w:rPr>
            </w:pPr>
            <w:r>
              <w:rPr>
                <w:rFonts w:ascii="宋体" w:hAnsi="宋体" w:eastAsia="宋体" w:cs="宋体"/>
              </w:rPr>
              <w:t>第8.2（3）项</w:t>
            </w:r>
          </w:p>
        </w:tc>
        <w:tc>
          <w:tcPr>
            <w:tcW w:w="1742" w:type="dxa"/>
            <w:vAlign w:val="center"/>
          </w:tcPr>
          <w:p w14:paraId="3D15E1DC">
            <w:pPr>
              <w:adjustRightInd w:val="0"/>
              <w:snapToGrid w:val="0"/>
              <w:jc w:val="left"/>
              <w:rPr>
                <w:rFonts w:ascii="宋体" w:hAnsi="宋体" w:eastAsia="宋体" w:cs="宋体"/>
                <w:lang w:eastAsia="zh-CN"/>
              </w:rPr>
            </w:pPr>
            <w:r>
              <w:rPr>
                <w:rFonts w:ascii="宋体" w:hAnsi="宋体" w:eastAsia="宋体" w:cs="宋体"/>
                <w:lang w:eastAsia="zh-CN"/>
              </w:rPr>
              <w:t>货物质量缺陷</w:t>
            </w:r>
          </w:p>
          <w:p w14:paraId="28DF15BC">
            <w:pPr>
              <w:adjustRightInd w:val="0"/>
              <w:snapToGrid w:val="0"/>
              <w:jc w:val="left"/>
              <w:rPr>
                <w:rFonts w:ascii="宋体" w:hAnsi="宋体" w:eastAsia="宋体" w:cs="宋体"/>
                <w:lang w:eastAsia="zh-CN"/>
              </w:rPr>
            </w:pPr>
            <w:r>
              <w:rPr>
                <w:rFonts w:ascii="宋体" w:hAnsi="宋体" w:eastAsia="宋体" w:cs="宋体"/>
                <w:lang w:eastAsia="zh-CN"/>
              </w:rPr>
              <w:t>响应时间</w:t>
            </w:r>
          </w:p>
        </w:tc>
        <w:tc>
          <w:tcPr>
            <w:tcW w:w="5170" w:type="dxa"/>
            <w:vAlign w:val="center"/>
          </w:tcPr>
          <w:p w14:paraId="43CD6379">
            <w:pPr>
              <w:adjustRightInd w:val="0"/>
              <w:snapToGrid w:val="0"/>
              <w:jc w:val="left"/>
              <w:rPr>
                <w:rFonts w:ascii="宋体" w:hAnsi="宋体" w:eastAsia="宋体" w:cs="宋体"/>
                <w:lang w:eastAsia="zh-CN"/>
              </w:rPr>
            </w:pPr>
            <w:r>
              <w:rPr>
                <w:rFonts w:hint="default" w:ascii="宋体" w:hAnsi="宋体" w:eastAsia="宋体" w:cs="宋体"/>
                <w:lang w:val="en-US" w:eastAsia="zh-CN"/>
              </w:rPr>
              <w:t>所有服务必须2个小时</w:t>
            </w:r>
            <w:r>
              <w:rPr>
                <w:rFonts w:ascii="宋体" w:hAnsi="宋体" w:eastAsia="宋体" w:cs="宋体"/>
                <w:lang w:val="en-US" w:eastAsia="zh-CN"/>
              </w:rPr>
              <w:t>内</w:t>
            </w:r>
            <w:r>
              <w:rPr>
                <w:rFonts w:hint="default" w:ascii="宋体" w:hAnsi="宋体" w:eastAsia="宋体" w:cs="宋体"/>
                <w:lang w:val="en-US" w:eastAsia="zh-CN"/>
              </w:rPr>
              <w:t>远程响应，8个小时内定位故障，24小时内到达用户指定地点</w:t>
            </w:r>
            <w:r>
              <w:rPr>
                <w:rFonts w:ascii="宋体" w:hAnsi="宋体" w:eastAsia="宋体" w:cs="宋体"/>
                <w:lang w:val="en-US" w:eastAsia="zh-CN"/>
              </w:rPr>
              <w:t>。</w:t>
            </w:r>
          </w:p>
        </w:tc>
      </w:tr>
      <w:tr w14:paraId="6AA5B7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3B2D05">
            <w:pPr>
              <w:snapToGrid w:val="0"/>
              <w:jc w:val="center"/>
              <w:rPr>
                <w:rFonts w:ascii="宋体" w:hAnsi="宋体" w:eastAsia="宋体" w:cs="宋体"/>
              </w:rPr>
            </w:pPr>
            <w:r>
              <w:rPr>
                <w:rFonts w:ascii="宋体" w:hAnsi="宋体" w:eastAsia="宋体" w:cs="宋体"/>
              </w:rPr>
              <w:t>第二节</w:t>
            </w:r>
          </w:p>
          <w:p w14:paraId="66816549">
            <w:pPr>
              <w:pStyle w:val="96"/>
              <w:ind w:firstLine="0" w:firstLineChars="0"/>
              <w:jc w:val="center"/>
              <w:rPr>
                <w:rFonts w:hint="eastAsia" w:ascii="宋体" w:hAnsi="宋体" w:eastAsia="宋体" w:cs="宋体"/>
                <w:sz w:val="21"/>
              </w:rPr>
            </w:pPr>
            <w:r>
              <w:rPr>
                <w:rFonts w:hint="eastAsia" w:ascii="宋体" w:hAnsi="宋体" w:eastAsia="宋体" w:cs="宋体"/>
                <w:sz w:val="21"/>
              </w:rPr>
              <w:t>第11.1款</w:t>
            </w:r>
          </w:p>
        </w:tc>
        <w:tc>
          <w:tcPr>
            <w:tcW w:w="1742" w:type="dxa"/>
            <w:vAlign w:val="center"/>
          </w:tcPr>
          <w:p w14:paraId="598F3339">
            <w:pPr>
              <w:adjustRightInd w:val="0"/>
              <w:snapToGrid w:val="0"/>
              <w:rPr>
                <w:rFonts w:ascii="宋体" w:hAnsi="宋体" w:eastAsia="宋体" w:cs="宋体"/>
              </w:rPr>
            </w:pPr>
            <w:r>
              <w:rPr>
                <w:rFonts w:ascii="宋体" w:hAnsi="宋体" w:eastAsia="宋体" w:cs="宋体"/>
              </w:rPr>
              <w:t>其他应当保密的信息</w:t>
            </w:r>
          </w:p>
        </w:tc>
        <w:tc>
          <w:tcPr>
            <w:tcW w:w="5170" w:type="dxa"/>
            <w:vAlign w:val="center"/>
          </w:tcPr>
          <w:p w14:paraId="5728F7C9">
            <w:pPr>
              <w:adjustRightInd w:val="0"/>
              <w:snapToGrid w:val="0"/>
              <w:jc w:val="left"/>
              <w:rPr>
                <w:rFonts w:ascii="宋体" w:hAnsi="宋体" w:eastAsia="宋体" w:cs="宋体"/>
                <w:lang w:val="en-US" w:eastAsia="zh-CN"/>
              </w:rPr>
            </w:pPr>
            <w:r>
              <w:rPr>
                <w:rFonts w:ascii="宋体" w:hAnsi="宋体" w:eastAsia="宋体" w:cs="宋体"/>
                <w:lang w:val="en-US" w:eastAsia="zh-CN"/>
              </w:rPr>
              <w:t>无</w:t>
            </w:r>
          </w:p>
        </w:tc>
      </w:tr>
      <w:tr w14:paraId="6BBD01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C0C91F7">
            <w:pPr>
              <w:adjustRightInd w:val="0"/>
              <w:snapToGrid w:val="0"/>
              <w:jc w:val="center"/>
              <w:rPr>
                <w:rFonts w:ascii="宋体" w:hAnsi="宋体" w:eastAsia="宋体" w:cs="宋体"/>
              </w:rPr>
            </w:pPr>
            <w:r>
              <w:rPr>
                <w:rFonts w:ascii="宋体" w:hAnsi="宋体" w:eastAsia="宋体" w:cs="宋体"/>
              </w:rPr>
              <w:t>第二节</w:t>
            </w:r>
          </w:p>
          <w:p w14:paraId="333F7716">
            <w:pPr>
              <w:adjustRightInd w:val="0"/>
              <w:snapToGrid w:val="0"/>
              <w:jc w:val="center"/>
              <w:rPr>
                <w:rFonts w:ascii="宋体" w:hAnsi="宋体" w:eastAsia="宋体" w:cs="宋体"/>
              </w:rPr>
            </w:pPr>
            <w:r>
              <w:rPr>
                <w:rFonts w:ascii="宋体" w:hAnsi="宋体" w:eastAsia="宋体" w:cs="宋体"/>
              </w:rPr>
              <w:t>第12.2款</w:t>
            </w:r>
          </w:p>
        </w:tc>
        <w:tc>
          <w:tcPr>
            <w:tcW w:w="1742" w:type="dxa"/>
            <w:vAlign w:val="center"/>
          </w:tcPr>
          <w:p w14:paraId="5C3024BC">
            <w:pPr>
              <w:adjustRightInd w:val="0"/>
              <w:snapToGrid w:val="0"/>
              <w:jc w:val="left"/>
              <w:rPr>
                <w:rFonts w:ascii="宋体" w:hAnsi="宋体" w:eastAsia="宋体" w:cs="宋体"/>
              </w:rPr>
            </w:pPr>
            <w:r>
              <w:rPr>
                <w:rFonts w:ascii="宋体" w:hAnsi="宋体" w:eastAsia="宋体" w:cs="宋体"/>
              </w:rPr>
              <w:t>合同价款支付时间</w:t>
            </w:r>
          </w:p>
        </w:tc>
        <w:tc>
          <w:tcPr>
            <w:tcW w:w="5170" w:type="dxa"/>
            <w:vAlign w:val="center"/>
          </w:tcPr>
          <w:p w14:paraId="6F47865E">
            <w:pPr>
              <w:adjustRightInd w:val="0"/>
              <w:snapToGrid w:val="0"/>
              <w:jc w:val="left"/>
              <w:rPr>
                <w:rFonts w:ascii="宋体" w:hAnsi="宋体" w:eastAsia="宋体" w:cs="宋体"/>
                <w:color w:val="auto"/>
                <w:lang w:eastAsia="zh-CN"/>
              </w:rPr>
            </w:pPr>
            <w:r>
              <w:rPr>
                <w:rFonts w:hint="eastAsia" w:ascii="宋体" w:hAnsi="宋体" w:eastAsia="宋体" w:cs="宋体"/>
                <w:color w:val="auto"/>
                <w:lang w:val="en-US" w:eastAsia="zh-CN"/>
              </w:rPr>
              <w:t>1</w:t>
            </w:r>
            <w:r>
              <w:rPr>
                <w:rFonts w:ascii="宋体" w:hAnsi="宋体" w:eastAsia="宋体" w:cs="宋体"/>
                <w:color w:val="auto"/>
                <w:lang w:val="en-US" w:eastAsia="zh-CN"/>
              </w:rPr>
              <w:t>.</w:t>
            </w:r>
            <w:r>
              <w:rPr>
                <w:rFonts w:ascii="宋体" w:hAnsi="宋体" w:eastAsia="宋体" w:cs="宋体"/>
                <w:color w:val="auto"/>
                <w:lang w:eastAsia="zh-CN"/>
              </w:rPr>
              <w:t>货物到场</w:t>
            </w:r>
            <w:r>
              <w:rPr>
                <w:rFonts w:hint="eastAsia" w:ascii="宋体" w:hAnsi="宋体" w:eastAsia="宋体" w:cs="宋体"/>
                <w:color w:val="auto"/>
                <w:lang w:val="en-US" w:eastAsia="zh-CN"/>
              </w:rPr>
              <w:t>并开箱验收后</w:t>
            </w:r>
            <w:r>
              <w:rPr>
                <w:rFonts w:ascii="宋体" w:hAnsi="宋体" w:eastAsia="宋体" w:cs="宋体"/>
                <w:color w:val="auto"/>
                <w:lang w:eastAsia="zh-CN"/>
              </w:rPr>
              <w:t>，甲方向乙方支付合同金额的</w:t>
            </w:r>
            <w:r>
              <w:rPr>
                <w:rFonts w:hint="eastAsia" w:ascii="宋体" w:hAnsi="宋体" w:eastAsia="宋体" w:cs="宋体"/>
                <w:color w:val="auto"/>
                <w:lang w:val="en-US" w:eastAsia="zh-CN"/>
              </w:rPr>
              <w:t>5</w:t>
            </w:r>
            <w:r>
              <w:rPr>
                <w:rFonts w:ascii="宋体" w:hAnsi="宋体" w:eastAsia="宋体" w:cs="宋体"/>
                <w:color w:val="auto"/>
                <w:lang w:eastAsia="zh-CN"/>
              </w:rPr>
              <w:t>0%</w:t>
            </w:r>
            <w:r>
              <w:rPr>
                <w:rFonts w:hint="eastAsia" w:ascii="宋体" w:hAnsi="宋体" w:eastAsia="宋体" w:cs="宋体"/>
                <w:color w:val="auto"/>
                <w:lang w:eastAsia="zh-CN"/>
              </w:rPr>
              <w:t>；</w:t>
            </w:r>
          </w:p>
          <w:p w14:paraId="20A2A0FA">
            <w:pPr>
              <w:adjustRightInd w:val="0"/>
              <w:snapToGrid w:val="0"/>
              <w:jc w:val="left"/>
              <w:rPr>
                <w:rFonts w:ascii="宋体" w:hAnsi="宋体" w:eastAsia="宋体" w:cs="宋体"/>
                <w:lang w:eastAsia="zh-CN"/>
              </w:rPr>
            </w:pPr>
            <w:r>
              <w:rPr>
                <w:rFonts w:hint="eastAsia" w:ascii="宋体" w:hAnsi="宋体" w:eastAsia="宋体" w:cs="宋体"/>
                <w:color w:val="auto"/>
                <w:lang w:val="en-US" w:eastAsia="zh-CN"/>
              </w:rPr>
              <w:t>2</w:t>
            </w:r>
            <w:r>
              <w:rPr>
                <w:rFonts w:ascii="宋体" w:hAnsi="宋体" w:eastAsia="宋体" w:cs="宋体"/>
                <w:color w:val="auto"/>
                <w:lang w:val="en-US" w:eastAsia="zh-CN"/>
              </w:rPr>
              <w:t>.</w:t>
            </w:r>
            <w:r>
              <w:rPr>
                <w:rFonts w:ascii="宋体" w:hAnsi="宋体" w:eastAsia="宋体" w:cs="宋体"/>
                <w:color w:val="auto"/>
                <w:lang w:eastAsia="zh-CN"/>
              </w:rPr>
              <w:t>货物安装调试完毕</w:t>
            </w:r>
            <w:r>
              <w:rPr>
                <w:rFonts w:hint="eastAsia" w:ascii="宋体" w:hAnsi="宋体" w:eastAsia="宋体" w:cs="宋体"/>
                <w:color w:val="auto"/>
                <w:lang w:val="en-US" w:eastAsia="zh-CN"/>
              </w:rPr>
              <w:t>验收合格</w:t>
            </w:r>
            <w:r>
              <w:rPr>
                <w:rFonts w:ascii="宋体" w:hAnsi="宋体" w:eastAsia="宋体" w:cs="宋体"/>
                <w:color w:val="auto"/>
                <w:lang w:eastAsia="zh-CN"/>
              </w:rPr>
              <w:t>后，甲方向乙方支付合同金额的</w:t>
            </w:r>
            <w:r>
              <w:rPr>
                <w:rFonts w:hint="eastAsia" w:ascii="宋体" w:hAnsi="宋体" w:eastAsia="宋体" w:cs="宋体"/>
                <w:color w:val="auto"/>
                <w:lang w:val="en-US" w:eastAsia="zh-CN"/>
              </w:rPr>
              <w:t>50</w:t>
            </w:r>
            <w:r>
              <w:rPr>
                <w:rFonts w:ascii="宋体" w:hAnsi="宋体" w:eastAsia="宋体" w:cs="宋体"/>
                <w:color w:val="auto"/>
                <w:lang w:eastAsia="zh-CN"/>
              </w:rPr>
              <w:t>%</w:t>
            </w:r>
            <w:r>
              <w:rPr>
                <w:rFonts w:hint="eastAsia" w:ascii="宋体" w:hAnsi="宋体" w:eastAsia="宋体" w:cs="宋体"/>
                <w:color w:val="auto"/>
                <w:lang w:eastAsia="zh-CN"/>
              </w:rPr>
              <w:t>。</w:t>
            </w:r>
          </w:p>
        </w:tc>
      </w:tr>
      <w:tr w14:paraId="6D688C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5307F75">
            <w:pPr>
              <w:adjustRightInd w:val="0"/>
              <w:snapToGrid w:val="0"/>
              <w:jc w:val="center"/>
              <w:rPr>
                <w:rFonts w:ascii="宋体" w:hAnsi="宋体" w:eastAsia="宋体" w:cs="宋体"/>
              </w:rPr>
            </w:pPr>
            <w:r>
              <w:rPr>
                <w:rFonts w:ascii="宋体" w:hAnsi="宋体" w:eastAsia="宋体" w:cs="宋体"/>
              </w:rPr>
              <w:t>第二节</w:t>
            </w:r>
          </w:p>
          <w:p w14:paraId="71428B0D">
            <w:pPr>
              <w:adjustRightInd w:val="0"/>
              <w:snapToGrid w:val="0"/>
              <w:jc w:val="center"/>
              <w:rPr>
                <w:rFonts w:ascii="宋体" w:hAnsi="宋体" w:eastAsia="宋体" w:cs="宋体"/>
              </w:rPr>
            </w:pPr>
            <w:r>
              <w:rPr>
                <w:rFonts w:ascii="宋体" w:hAnsi="宋体" w:eastAsia="宋体" w:cs="宋体"/>
              </w:rPr>
              <w:t>第13.2款</w:t>
            </w:r>
          </w:p>
        </w:tc>
        <w:tc>
          <w:tcPr>
            <w:tcW w:w="1742" w:type="dxa"/>
            <w:vAlign w:val="center"/>
          </w:tcPr>
          <w:p w14:paraId="381516A1">
            <w:pPr>
              <w:adjustRightInd w:val="0"/>
              <w:snapToGrid w:val="0"/>
              <w:jc w:val="left"/>
              <w:rPr>
                <w:rFonts w:ascii="宋体" w:hAnsi="宋体" w:eastAsia="宋体" w:cs="宋体"/>
                <w:lang w:eastAsia="zh-CN"/>
              </w:rPr>
            </w:pPr>
            <w:r>
              <w:rPr>
                <w:rFonts w:ascii="宋体" w:hAnsi="宋体" w:eastAsia="宋体" w:cs="宋体"/>
                <w:lang w:eastAsia="zh-CN"/>
              </w:rPr>
              <w:t>履约保证金不予退还的情形</w:t>
            </w:r>
          </w:p>
        </w:tc>
        <w:tc>
          <w:tcPr>
            <w:tcW w:w="5170" w:type="dxa"/>
            <w:vAlign w:val="center"/>
          </w:tcPr>
          <w:p w14:paraId="79CD3C68">
            <w:pPr>
              <w:adjustRightInd w:val="0"/>
              <w:snapToGrid w:val="0"/>
              <w:jc w:val="left"/>
              <w:rPr>
                <w:rFonts w:ascii="宋体" w:hAnsi="宋体" w:eastAsia="宋体" w:cs="宋体"/>
                <w:lang w:eastAsia="zh-CN"/>
              </w:rPr>
            </w:pPr>
            <w:r>
              <w:rPr>
                <w:rFonts w:ascii="宋体" w:hAnsi="宋体" w:eastAsia="宋体" w:cs="宋体"/>
                <w:lang w:val="en-US" w:eastAsia="zh-CN"/>
              </w:rPr>
              <w:t>乙方未按合同规定时间完成货物供货、安装调试。（未能按期完成，但经乙方提出逾期情况说明，甲方同意延期，不视为违约）</w:t>
            </w:r>
          </w:p>
        </w:tc>
      </w:tr>
      <w:tr w14:paraId="1279EB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62BD5B">
            <w:pPr>
              <w:adjustRightInd w:val="0"/>
              <w:snapToGrid w:val="0"/>
              <w:jc w:val="center"/>
              <w:rPr>
                <w:rFonts w:ascii="宋体" w:hAnsi="宋体" w:eastAsia="宋体" w:cs="宋体"/>
              </w:rPr>
            </w:pPr>
            <w:r>
              <w:rPr>
                <w:rFonts w:ascii="宋体" w:hAnsi="宋体" w:eastAsia="宋体" w:cs="宋体"/>
              </w:rPr>
              <w:t>第二节</w:t>
            </w:r>
          </w:p>
          <w:p w14:paraId="47B467AB">
            <w:pPr>
              <w:adjustRightInd w:val="0"/>
              <w:snapToGrid w:val="0"/>
              <w:jc w:val="center"/>
              <w:rPr>
                <w:rFonts w:ascii="宋体" w:hAnsi="宋体" w:eastAsia="宋体" w:cs="宋体"/>
              </w:rPr>
            </w:pPr>
            <w:r>
              <w:rPr>
                <w:rFonts w:ascii="宋体" w:hAnsi="宋体" w:eastAsia="宋体" w:cs="宋体"/>
              </w:rPr>
              <w:t>第13.3款</w:t>
            </w:r>
          </w:p>
        </w:tc>
        <w:tc>
          <w:tcPr>
            <w:tcW w:w="1742" w:type="dxa"/>
            <w:vAlign w:val="center"/>
          </w:tcPr>
          <w:p w14:paraId="0AB4534A">
            <w:pPr>
              <w:adjustRightInd w:val="0"/>
              <w:snapToGrid w:val="0"/>
              <w:jc w:val="left"/>
              <w:rPr>
                <w:rFonts w:ascii="宋体" w:hAnsi="宋体" w:eastAsia="宋体" w:cs="宋体"/>
                <w:lang w:eastAsia="zh-CN"/>
              </w:rPr>
            </w:pPr>
            <w:r>
              <w:rPr>
                <w:rFonts w:ascii="宋体" w:hAnsi="宋体" w:eastAsia="宋体" w:cs="宋体"/>
                <w:lang w:eastAsia="zh-CN"/>
              </w:rPr>
              <w:t>履约保证金退还时间及逾期退还的违约金</w:t>
            </w:r>
          </w:p>
        </w:tc>
        <w:tc>
          <w:tcPr>
            <w:tcW w:w="5170" w:type="dxa"/>
            <w:vAlign w:val="center"/>
          </w:tcPr>
          <w:p w14:paraId="21A2F42A">
            <w:pPr>
              <w:adjustRightInd w:val="0"/>
              <w:snapToGrid w:val="0"/>
              <w:jc w:val="left"/>
              <w:rPr>
                <w:rFonts w:ascii="宋体" w:hAnsi="宋体" w:eastAsia="宋体" w:cs="宋体"/>
                <w:lang w:eastAsia="zh-CN"/>
              </w:rPr>
            </w:pPr>
            <w:r>
              <w:rPr>
                <w:rFonts w:ascii="宋体" w:hAnsi="宋体" w:eastAsia="宋体" w:cs="宋体"/>
                <w:lang w:val="en-US" w:eastAsia="zh-CN"/>
              </w:rPr>
              <w:t>采购人（甲方）于项目验收合格满30日后，无息退还中标方（乙方）履约保证金。</w:t>
            </w:r>
          </w:p>
        </w:tc>
      </w:tr>
      <w:tr w14:paraId="6E6186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9C36E13">
            <w:pPr>
              <w:adjustRightInd w:val="0"/>
              <w:snapToGrid w:val="0"/>
              <w:jc w:val="center"/>
              <w:rPr>
                <w:rFonts w:ascii="宋体" w:hAnsi="宋体" w:eastAsia="宋体" w:cs="宋体"/>
              </w:rPr>
            </w:pPr>
            <w:r>
              <w:rPr>
                <w:rFonts w:ascii="宋体" w:hAnsi="宋体" w:eastAsia="宋体" w:cs="宋体"/>
              </w:rPr>
              <w:t>第二节</w:t>
            </w:r>
          </w:p>
          <w:p w14:paraId="6C75951B">
            <w:pPr>
              <w:adjustRightInd w:val="0"/>
              <w:snapToGrid w:val="0"/>
              <w:jc w:val="center"/>
              <w:rPr>
                <w:rFonts w:ascii="宋体" w:hAnsi="宋体" w:eastAsia="宋体" w:cs="宋体"/>
              </w:rPr>
            </w:pPr>
            <w:r>
              <w:rPr>
                <w:rFonts w:ascii="宋体" w:hAnsi="宋体" w:eastAsia="宋体" w:cs="宋体"/>
              </w:rPr>
              <w:t>第14.1（3）项</w:t>
            </w:r>
          </w:p>
        </w:tc>
        <w:tc>
          <w:tcPr>
            <w:tcW w:w="1742" w:type="dxa"/>
            <w:vAlign w:val="center"/>
          </w:tcPr>
          <w:p w14:paraId="33D52D26">
            <w:pPr>
              <w:adjustRightInd w:val="0"/>
              <w:snapToGrid w:val="0"/>
              <w:jc w:val="left"/>
              <w:rPr>
                <w:rFonts w:ascii="宋体" w:hAnsi="宋体" w:eastAsia="宋体" w:cs="宋体"/>
              </w:rPr>
            </w:pPr>
            <w:r>
              <w:rPr>
                <w:rFonts w:ascii="宋体" w:hAnsi="宋体" w:eastAsia="宋体" w:cs="宋体"/>
              </w:rPr>
              <w:t>运行监督、维修期限</w:t>
            </w:r>
          </w:p>
        </w:tc>
        <w:tc>
          <w:tcPr>
            <w:tcW w:w="5170" w:type="dxa"/>
            <w:vAlign w:val="center"/>
          </w:tcPr>
          <w:p w14:paraId="26964A5B">
            <w:pPr>
              <w:adjustRightInd w:val="0"/>
              <w:snapToGrid w:val="0"/>
              <w:jc w:val="left"/>
              <w:rPr>
                <w:rFonts w:ascii="宋体" w:hAnsi="宋体" w:eastAsia="宋体" w:cs="宋体"/>
                <w:lang w:eastAsia="zh-CN"/>
              </w:rPr>
            </w:pPr>
            <w:r>
              <w:rPr>
                <w:rFonts w:ascii="宋体" w:hAnsi="宋体" w:eastAsia="宋体" w:cs="宋体"/>
                <w:lang w:val="en-US" w:eastAsia="zh-CN"/>
              </w:rPr>
              <w:t>3</w:t>
            </w:r>
            <w:r>
              <w:rPr>
                <w:rFonts w:hint="default" w:ascii="宋体" w:hAnsi="宋体" w:eastAsia="宋体" w:cs="宋体"/>
                <w:lang w:val="en-US" w:eastAsia="zh-CN"/>
              </w:rPr>
              <w:t>年，从验收合格之日起开始计算</w:t>
            </w:r>
            <w:r>
              <w:rPr>
                <w:rFonts w:ascii="宋体" w:hAnsi="宋体" w:eastAsia="宋体" w:cs="宋体"/>
                <w:lang w:val="en-US" w:eastAsia="zh-CN"/>
              </w:rPr>
              <w:t>。</w:t>
            </w:r>
          </w:p>
        </w:tc>
      </w:tr>
      <w:tr w14:paraId="56CFB3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AE32916">
            <w:pPr>
              <w:adjustRightInd w:val="0"/>
              <w:snapToGrid w:val="0"/>
              <w:jc w:val="center"/>
              <w:rPr>
                <w:rFonts w:ascii="宋体" w:hAnsi="宋体" w:eastAsia="宋体" w:cs="宋体"/>
              </w:rPr>
            </w:pPr>
            <w:r>
              <w:rPr>
                <w:rFonts w:ascii="宋体" w:hAnsi="宋体" w:eastAsia="宋体" w:cs="宋体"/>
              </w:rPr>
              <w:t>第二节</w:t>
            </w:r>
          </w:p>
          <w:p w14:paraId="6E3E9980">
            <w:pPr>
              <w:adjustRightInd w:val="0"/>
              <w:snapToGrid w:val="0"/>
              <w:jc w:val="center"/>
              <w:rPr>
                <w:rFonts w:ascii="宋体" w:hAnsi="宋体" w:eastAsia="宋体" w:cs="宋体"/>
              </w:rPr>
            </w:pPr>
            <w:r>
              <w:rPr>
                <w:rFonts w:ascii="宋体" w:hAnsi="宋体" w:eastAsia="宋体" w:cs="宋体"/>
              </w:rPr>
              <w:t>第14.1（5）项</w:t>
            </w:r>
          </w:p>
        </w:tc>
        <w:tc>
          <w:tcPr>
            <w:tcW w:w="1742" w:type="dxa"/>
            <w:vAlign w:val="center"/>
          </w:tcPr>
          <w:p w14:paraId="29E5BEF0">
            <w:pPr>
              <w:adjustRightInd w:val="0"/>
              <w:snapToGrid w:val="0"/>
              <w:jc w:val="left"/>
              <w:rPr>
                <w:rFonts w:ascii="宋体" w:hAnsi="宋体" w:eastAsia="宋体" w:cs="宋体"/>
              </w:rPr>
            </w:pPr>
            <w:r>
              <w:rPr>
                <w:rFonts w:ascii="宋体" w:hAnsi="宋体" w:eastAsia="宋体" w:cs="宋体"/>
              </w:rPr>
              <w:t>货物回收的约定</w:t>
            </w:r>
          </w:p>
        </w:tc>
        <w:tc>
          <w:tcPr>
            <w:tcW w:w="5170" w:type="dxa"/>
            <w:vAlign w:val="center"/>
          </w:tcPr>
          <w:p w14:paraId="7B5F49E3">
            <w:pPr>
              <w:adjustRightInd w:val="0"/>
              <w:snapToGrid w:val="0"/>
              <w:jc w:val="left"/>
              <w:rPr>
                <w:rFonts w:ascii="宋体" w:hAnsi="宋体" w:eastAsia="宋体" w:cs="宋体"/>
                <w:lang w:val="en-US" w:eastAsia="zh-CN"/>
              </w:rPr>
            </w:pPr>
            <w:r>
              <w:rPr>
                <w:rFonts w:ascii="宋体" w:hAnsi="宋体" w:eastAsia="宋体" w:cs="宋体"/>
                <w:lang w:val="en-US" w:eastAsia="zh-CN"/>
              </w:rPr>
              <w:t>无。</w:t>
            </w:r>
          </w:p>
        </w:tc>
      </w:tr>
      <w:tr w14:paraId="2D44AB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AFB54C8">
            <w:pPr>
              <w:adjustRightInd w:val="0"/>
              <w:snapToGrid w:val="0"/>
              <w:jc w:val="center"/>
              <w:rPr>
                <w:rFonts w:ascii="宋体" w:hAnsi="宋体" w:eastAsia="宋体" w:cs="宋体"/>
              </w:rPr>
            </w:pPr>
            <w:r>
              <w:rPr>
                <w:rFonts w:ascii="宋体" w:hAnsi="宋体" w:eastAsia="宋体" w:cs="宋体"/>
              </w:rPr>
              <w:t>第二节</w:t>
            </w:r>
          </w:p>
          <w:p w14:paraId="3022698D">
            <w:pPr>
              <w:adjustRightInd w:val="0"/>
              <w:snapToGrid w:val="0"/>
              <w:jc w:val="center"/>
              <w:rPr>
                <w:rFonts w:ascii="宋体" w:hAnsi="宋体" w:eastAsia="宋体" w:cs="宋体"/>
              </w:rPr>
            </w:pPr>
            <w:r>
              <w:rPr>
                <w:rFonts w:ascii="宋体" w:hAnsi="宋体" w:eastAsia="宋体" w:cs="宋体"/>
              </w:rPr>
              <w:t>第14.1（6）项</w:t>
            </w:r>
          </w:p>
        </w:tc>
        <w:tc>
          <w:tcPr>
            <w:tcW w:w="1742" w:type="dxa"/>
            <w:vAlign w:val="center"/>
          </w:tcPr>
          <w:p w14:paraId="43788968">
            <w:pPr>
              <w:adjustRightInd w:val="0"/>
              <w:snapToGrid w:val="0"/>
              <w:jc w:val="left"/>
              <w:rPr>
                <w:rFonts w:ascii="宋体" w:hAnsi="宋体" w:eastAsia="宋体" w:cs="宋体"/>
              </w:rPr>
            </w:pPr>
            <w:r>
              <w:rPr>
                <w:rFonts w:ascii="宋体" w:hAnsi="宋体" w:eastAsia="宋体" w:cs="宋体"/>
              </w:rPr>
              <w:t>乙方提供的其他服务</w:t>
            </w:r>
          </w:p>
        </w:tc>
        <w:tc>
          <w:tcPr>
            <w:tcW w:w="5170" w:type="dxa"/>
            <w:vAlign w:val="center"/>
          </w:tcPr>
          <w:p w14:paraId="3B69D80B">
            <w:pPr>
              <w:adjustRightInd w:val="0"/>
              <w:snapToGrid w:val="0"/>
              <w:jc w:val="left"/>
              <w:rPr>
                <w:rFonts w:ascii="宋体" w:hAnsi="宋体" w:eastAsia="宋体" w:cs="宋体"/>
                <w:lang w:eastAsia="zh-CN"/>
              </w:rPr>
            </w:pPr>
            <w:r>
              <w:rPr>
                <w:rFonts w:ascii="宋体" w:hAnsi="宋体" w:eastAsia="宋体" w:cs="宋体"/>
                <w:lang w:val="en-US" w:eastAsia="zh-CN"/>
              </w:rPr>
              <w:t>（1）保修期内，提供 7*24小时技术支持服务，</w:t>
            </w:r>
            <w:r>
              <w:rPr>
                <w:rFonts w:hint="default" w:ascii="宋体" w:hAnsi="宋体" w:eastAsia="宋体" w:cs="宋体"/>
                <w:lang w:val="en-US" w:eastAsia="zh-CN"/>
              </w:rPr>
              <w:t>所有服务必须2个小时</w:t>
            </w:r>
            <w:r>
              <w:rPr>
                <w:rFonts w:ascii="宋体" w:hAnsi="宋体" w:eastAsia="宋体" w:cs="宋体"/>
                <w:lang w:val="en-US" w:eastAsia="zh-CN"/>
              </w:rPr>
              <w:t>内</w:t>
            </w:r>
            <w:r>
              <w:rPr>
                <w:rFonts w:hint="default" w:ascii="宋体" w:hAnsi="宋体" w:eastAsia="宋体" w:cs="宋体"/>
                <w:lang w:val="en-US" w:eastAsia="zh-CN"/>
              </w:rPr>
              <w:t>远程响应，8个小时内定位故障，24小时内到达用户指定地点</w:t>
            </w:r>
            <w:r>
              <w:rPr>
                <w:rFonts w:ascii="宋体" w:hAnsi="宋体" w:eastAsia="宋体" w:cs="宋体"/>
                <w:lang w:val="en-US" w:eastAsia="zh-CN"/>
              </w:rPr>
              <w:t>，无法解决的提供备用机（备用机的规格配置及性能不得低于本项目所投产品实质性指标要求）。（2）所有产品免费保修升级期外按不超过原价的10%进行维修升级，响应速度同保修期响应速度。</w:t>
            </w:r>
          </w:p>
        </w:tc>
      </w:tr>
      <w:tr w14:paraId="51C8AB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65BE2A">
            <w:pPr>
              <w:adjustRightInd w:val="0"/>
              <w:snapToGrid w:val="0"/>
              <w:jc w:val="center"/>
              <w:rPr>
                <w:rFonts w:ascii="宋体" w:hAnsi="宋体" w:eastAsia="宋体" w:cs="宋体"/>
              </w:rPr>
            </w:pPr>
            <w:r>
              <w:rPr>
                <w:rFonts w:ascii="宋体" w:hAnsi="宋体" w:eastAsia="宋体" w:cs="宋体"/>
              </w:rPr>
              <w:t>第二节</w:t>
            </w:r>
          </w:p>
          <w:p w14:paraId="61FED005">
            <w:pPr>
              <w:adjustRightInd w:val="0"/>
              <w:snapToGrid w:val="0"/>
              <w:jc w:val="center"/>
              <w:rPr>
                <w:rFonts w:ascii="宋体" w:hAnsi="宋体" w:eastAsia="宋体" w:cs="宋体"/>
              </w:rPr>
            </w:pPr>
            <w:r>
              <w:rPr>
                <w:rFonts w:ascii="宋体" w:hAnsi="宋体" w:eastAsia="宋体" w:cs="宋体"/>
              </w:rPr>
              <w:t>第15.1款</w:t>
            </w:r>
          </w:p>
        </w:tc>
        <w:tc>
          <w:tcPr>
            <w:tcW w:w="1742" w:type="dxa"/>
            <w:vAlign w:val="center"/>
          </w:tcPr>
          <w:p w14:paraId="5DEC7637">
            <w:pPr>
              <w:adjustRightInd w:val="0"/>
              <w:snapToGrid w:val="0"/>
              <w:jc w:val="left"/>
              <w:rPr>
                <w:rFonts w:ascii="宋体" w:hAnsi="宋体" w:eastAsia="宋体" w:cs="宋体"/>
                <w:lang w:eastAsia="zh-CN"/>
              </w:rPr>
            </w:pPr>
            <w:r>
              <w:rPr>
                <w:rFonts w:ascii="宋体" w:hAnsi="宋体" w:eastAsia="宋体" w:cs="宋体"/>
                <w:lang w:eastAsia="zh-CN"/>
              </w:rPr>
              <w:t>修理、重作、更换相关具体规定</w:t>
            </w:r>
          </w:p>
        </w:tc>
        <w:tc>
          <w:tcPr>
            <w:tcW w:w="5170" w:type="dxa"/>
            <w:vAlign w:val="center"/>
          </w:tcPr>
          <w:p w14:paraId="7B20F6B0">
            <w:pPr>
              <w:adjustRightInd w:val="0"/>
              <w:snapToGrid w:val="0"/>
              <w:jc w:val="left"/>
              <w:rPr>
                <w:rFonts w:ascii="宋体" w:hAnsi="宋体" w:eastAsia="宋体" w:cs="宋体"/>
                <w:lang w:eastAsia="zh-CN"/>
              </w:rPr>
            </w:pPr>
            <w:r>
              <w:rPr>
                <w:rFonts w:ascii="宋体" w:hAnsi="宋体" w:eastAsia="宋体" w:cs="宋体"/>
                <w:lang w:val="en-US" w:eastAsia="zh-CN"/>
              </w:rPr>
              <w:t>到货后，如产品有缺陷、缺损、功能缺失或与合同规定和招标文件要求不符的，采购人有权要求中标人进行更换或补充发货。对于存在质疑的技术指标，采购人有权要求中标人提供测试证明，如测试结果不能达到投标文件的响应的技术需求，采购人有权要求中标人免费更换成满足技术指标需求的货物，不足部分由乙方承担。</w:t>
            </w:r>
          </w:p>
        </w:tc>
      </w:tr>
      <w:tr w14:paraId="7622F2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B9B44FA">
            <w:pPr>
              <w:adjustRightInd w:val="0"/>
              <w:snapToGrid w:val="0"/>
              <w:jc w:val="center"/>
              <w:rPr>
                <w:rFonts w:ascii="宋体" w:hAnsi="宋体" w:eastAsia="宋体" w:cs="宋体"/>
              </w:rPr>
            </w:pPr>
            <w:r>
              <w:rPr>
                <w:rFonts w:ascii="宋体" w:hAnsi="宋体" w:eastAsia="宋体" w:cs="宋体"/>
              </w:rPr>
              <w:t>第二节</w:t>
            </w:r>
          </w:p>
          <w:p w14:paraId="24B8AC20">
            <w:pPr>
              <w:adjustRightInd w:val="0"/>
              <w:snapToGrid w:val="0"/>
              <w:jc w:val="center"/>
              <w:rPr>
                <w:rFonts w:ascii="宋体" w:hAnsi="宋体" w:eastAsia="宋体" w:cs="宋体"/>
              </w:rPr>
            </w:pPr>
            <w:r>
              <w:rPr>
                <w:rFonts w:ascii="宋体" w:hAnsi="宋体" w:eastAsia="宋体" w:cs="宋体"/>
              </w:rPr>
              <w:t>第15.2（2）项</w:t>
            </w:r>
          </w:p>
        </w:tc>
        <w:tc>
          <w:tcPr>
            <w:tcW w:w="1742" w:type="dxa"/>
            <w:vAlign w:val="center"/>
          </w:tcPr>
          <w:p w14:paraId="5B0F9B07">
            <w:pPr>
              <w:adjustRightInd w:val="0"/>
              <w:snapToGrid w:val="0"/>
              <w:jc w:val="left"/>
              <w:rPr>
                <w:rFonts w:ascii="宋体" w:hAnsi="宋体" w:eastAsia="宋体" w:cs="宋体"/>
              </w:rPr>
            </w:pPr>
            <w:r>
              <w:rPr>
                <w:rFonts w:ascii="宋体" w:hAnsi="宋体" w:eastAsia="宋体" w:cs="宋体"/>
              </w:rPr>
              <w:t>迟延交货赔偿费</w:t>
            </w:r>
          </w:p>
        </w:tc>
        <w:tc>
          <w:tcPr>
            <w:tcW w:w="5170" w:type="dxa"/>
            <w:vAlign w:val="center"/>
          </w:tcPr>
          <w:p w14:paraId="712DC3D6">
            <w:pPr>
              <w:adjustRightInd w:val="0"/>
              <w:snapToGrid w:val="0"/>
              <w:jc w:val="left"/>
              <w:rPr>
                <w:rFonts w:ascii="宋体" w:hAnsi="宋体" w:eastAsia="宋体" w:cs="宋体"/>
                <w:lang w:val="en-US" w:eastAsia="zh-CN"/>
              </w:rPr>
            </w:pPr>
            <w:r>
              <w:rPr>
                <w:rFonts w:ascii="宋体" w:hAnsi="宋体" w:eastAsia="宋体" w:cs="宋体"/>
                <w:lang w:val="en-US" w:eastAsia="zh-CN"/>
              </w:rPr>
              <w:t>1乙方未按合同规定时间完成供货、设备安装调试、系统集成达到验收条件，乙方每逾期一天，须按照合同总额</w:t>
            </w:r>
            <w:r>
              <w:rPr>
                <w:rFonts w:ascii="宋体" w:hAnsi="宋体" w:eastAsia="宋体" w:cs="宋体"/>
                <w:lang w:val="en" w:eastAsia="zh-CN"/>
              </w:rPr>
              <w:t xml:space="preserve"> </w:t>
            </w:r>
            <w:r>
              <w:rPr>
                <w:rFonts w:ascii="宋体" w:hAnsi="宋体" w:eastAsia="宋体" w:cs="宋体"/>
                <w:lang w:val="en-US" w:eastAsia="zh-CN"/>
              </w:rPr>
              <w:t>2‰的标准向甲方交纳违约金，累计不超过合同总额的10</w:t>
            </w:r>
            <w:r>
              <w:rPr>
                <w:rFonts w:ascii="宋体" w:hAnsi="宋体" w:eastAsia="宋体" w:cs="宋体"/>
                <w:lang w:val="en" w:eastAsia="zh-CN"/>
              </w:rPr>
              <w:t xml:space="preserve"> </w:t>
            </w:r>
            <w:r>
              <w:rPr>
                <w:rFonts w:ascii="宋体" w:hAnsi="宋体" w:eastAsia="宋体" w:cs="宋体"/>
                <w:lang w:val="en-US" w:eastAsia="zh-CN"/>
              </w:rPr>
              <w:t>%。</w:t>
            </w:r>
          </w:p>
          <w:p w14:paraId="63944291">
            <w:pPr>
              <w:adjustRightInd w:val="0"/>
              <w:snapToGrid w:val="0"/>
              <w:jc w:val="left"/>
              <w:rPr>
                <w:rFonts w:ascii="宋体" w:hAnsi="宋体" w:eastAsia="宋体" w:cs="宋体"/>
                <w:u w:val="single"/>
                <w:lang w:eastAsia="zh-CN"/>
              </w:rPr>
            </w:pPr>
            <w:r>
              <w:rPr>
                <w:rFonts w:ascii="宋体" w:hAnsi="宋体" w:eastAsia="宋体" w:cs="宋体"/>
                <w:lang w:val="en-US" w:eastAsia="zh-CN"/>
              </w:rPr>
              <w:t>2.未能按期完成，经乙方提出逾期情况说明，甲方同意延期，不视为乙方违约。</w:t>
            </w:r>
          </w:p>
        </w:tc>
      </w:tr>
      <w:tr w14:paraId="077597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838F0F2">
            <w:pPr>
              <w:adjustRightInd w:val="0"/>
              <w:snapToGrid w:val="0"/>
              <w:jc w:val="center"/>
              <w:rPr>
                <w:rFonts w:ascii="宋体" w:hAnsi="宋体" w:eastAsia="宋体" w:cs="宋体"/>
              </w:rPr>
            </w:pPr>
            <w:r>
              <w:rPr>
                <w:rFonts w:ascii="宋体" w:hAnsi="宋体" w:eastAsia="宋体" w:cs="宋体"/>
              </w:rPr>
              <w:t>第二节</w:t>
            </w:r>
          </w:p>
          <w:p w14:paraId="3D14A328">
            <w:pPr>
              <w:adjustRightInd w:val="0"/>
              <w:snapToGrid w:val="0"/>
              <w:jc w:val="center"/>
              <w:rPr>
                <w:rFonts w:ascii="宋体" w:hAnsi="宋体" w:eastAsia="宋体" w:cs="宋体"/>
              </w:rPr>
            </w:pPr>
            <w:r>
              <w:rPr>
                <w:rFonts w:ascii="宋体" w:hAnsi="宋体" w:eastAsia="宋体" w:cs="宋体"/>
              </w:rPr>
              <w:t>第15.3款</w:t>
            </w:r>
          </w:p>
        </w:tc>
        <w:tc>
          <w:tcPr>
            <w:tcW w:w="1742" w:type="dxa"/>
            <w:vAlign w:val="center"/>
          </w:tcPr>
          <w:p w14:paraId="7E937F5F">
            <w:pPr>
              <w:adjustRightInd w:val="0"/>
              <w:snapToGrid w:val="0"/>
              <w:jc w:val="left"/>
              <w:rPr>
                <w:rFonts w:ascii="宋体" w:hAnsi="宋体" w:eastAsia="宋体" w:cs="宋体"/>
              </w:rPr>
            </w:pPr>
            <w:r>
              <w:rPr>
                <w:rFonts w:ascii="宋体" w:hAnsi="宋体" w:eastAsia="宋体" w:cs="宋体"/>
              </w:rPr>
              <w:t>逾期付款利息</w:t>
            </w:r>
          </w:p>
        </w:tc>
        <w:tc>
          <w:tcPr>
            <w:tcW w:w="5170" w:type="dxa"/>
            <w:vAlign w:val="center"/>
          </w:tcPr>
          <w:p w14:paraId="5B2ED485">
            <w:pPr>
              <w:adjustRightInd w:val="0"/>
              <w:snapToGrid w:val="0"/>
              <w:jc w:val="left"/>
              <w:rPr>
                <w:rFonts w:ascii="宋体" w:hAnsi="宋体" w:eastAsia="宋体" w:cs="宋体"/>
                <w:lang w:val="en-US" w:eastAsia="zh-CN"/>
              </w:rPr>
            </w:pPr>
            <w:r>
              <w:rPr>
                <w:rFonts w:ascii="宋体" w:hAnsi="宋体" w:eastAsia="宋体" w:cs="宋体"/>
                <w:lang w:val="en-US" w:eastAsia="zh-CN"/>
              </w:rPr>
              <w:t>甲方存在逾期付款，每日以逾期付款额</w:t>
            </w:r>
            <w:r>
              <w:rPr>
                <w:rFonts w:ascii="宋体" w:hAnsi="宋体" w:eastAsia="宋体" w:cs="宋体"/>
                <w:lang w:val="en" w:eastAsia="zh-CN"/>
              </w:rPr>
              <w:t>的</w:t>
            </w:r>
            <w:r>
              <w:rPr>
                <w:rFonts w:ascii="宋体" w:hAnsi="宋体" w:eastAsia="宋体" w:cs="宋体"/>
                <w:lang w:val="en-US" w:eastAsia="zh-CN"/>
              </w:rPr>
              <w:t>2‰的标准向乙方交纳违约金，累计不超过逾期付款额</w:t>
            </w:r>
            <w:r>
              <w:rPr>
                <w:rFonts w:ascii="宋体" w:hAnsi="宋体" w:eastAsia="宋体" w:cs="宋体"/>
                <w:lang w:val="en" w:eastAsia="zh-CN"/>
              </w:rPr>
              <w:t>的</w:t>
            </w:r>
            <w:r>
              <w:rPr>
                <w:rFonts w:ascii="宋体" w:hAnsi="宋体" w:eastAsia="宋体" w:cs="宋体"/>
                <w:lang w:val="en-US" w:eastAsia="zh-CN"/>
              </w:rPr>
              <w:t>4</w:t>
            </w:r>
            <w:r>
              <w:rPr>
                <w:rFonts w:ascii="宋体" w:hAnsi="宋体" w:eastAsia="宋体" w:cs="宋体"/>
                <w:lang w:val="en" w:eastAsia="zh-CN"/>
              </w:rPr>
              <w:t xml:space="preserve"> </w:t>
            </w:r>
            <w:r>
              <w:rPr>
                <w:rFonts w:ascii="宋体" w:hAnsi="宋体" w:eastAsia="宋体" w:cs="宋体"/>
                <w:lang w:val="en-US" w:eastAsia="zh-CN"/>
              </w:rPr>
              <w:t>%。</w:t>
            </w:r>
          </w:p>
          <w:p w14:paraId="47D81ABE">
            <w:pPr>
              <w:adjustRightInd w:val="0"/>
              <w:snapToGrid w:val="0"/>
              <w:jc w:val="left"/>
              <w:rPr>
                <w:rFonts w:ascii="宋体" w:hAnsi="宋体" w:eastAsia="宋体" w:cs="宋体"/>
                <w:u w:val="single"/>
                <w:lang w:eastAsia="zh-CN"/>
              </w:rPr>
            </w:pPr>
            <w:r>
              <w:rPr>
                <w:rFonts w:ascii="宋体" w:hAnsi="宋体" w:eastAsia="宋体" w:cs="宋体"/>
                <w:lang w:val="en-US" w:eastAsia="zh-CN"/>
              </w:rPr>
              <w:t>因财政部门资金拨付的原因造成逾期付款的，不视为甲方违约。</w:t>
            </w:r>
          </w:p>
        </w:tc>
      </w:tr>
      <w:tr w14:paraId="67F73E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19D7EB6">
            <w:pPr>
              <w:adjustRightInd w:val="0"/>
              <w:snapToGrid w:val="0"/>
              <w:jc w:val="center"/>
              <w:rPr>
                <w:rFonts w:ascii="宋体" w:hAnsi="宋体" w:eastAsia="宋体" w:cs="宋体"/>
              </w:rPr>
            </w:pPr>
            <w:r>
              <w:rPr>
                <w:rFonts w:ascii="宋体" w:hAnsi="宋体" w:eastAsia="宋体" w:cs="宋体"/>
              </w:rPr>
              <w:t>第二节</w:t>
            </w:r>
          </w:p>
          <w:p w14:paraId="43DF9720">
            <w:pPr>
              <w:adjustRightInd w:val="0"/>
              <w:snapToGrid w:val="0"/>
              <w:jc w:val="center"/>
              <w:rPr>
                <w:rFonts w:ascii="宋体" w:hAnsi="宋体" w:eastAsia="宋体" w:cs="宋体"/>
              </w:rPr>
            </w:pPr>
            <w:r>
              <w:rPr>
                <w:rFonts w:ascii="宋体" w:hAnsi="宋体" w:eastAsia="宋体" w:cs="宋体"/>
              </w:rPr>
              <w:t>第15.4款</w:t>
            </w:r>
          </w:p>
        </w:tc>
        <w:tc>
          <w:tcPr>
            <w:tcW w:w="1742" w:type="dxa"/>
            <w:tcBorders>
              <w:left w:val="single" w:color="auto" w:sz="2" w:space="0"/>
              <w:bottom w:val="single" w:color="auto" w:sz="2" w:space="0"/>
              <w:right w:val="single" w:color="auto" w:sz="2" w:space="0"/>
            </w:tcBorders>
            <w:vAlign w:val="center"/>
          </w:tcPr>
          <w:p w14:paraId="7409CF5A">
            <w:pPr>
              <w:adjustRightInd w:val="0"/>
              <w:snapToGrid w:val="0"/>
              <w:jc w:val="left"/>
              <w:rPr>
                <w:rFonts w:ascii="宋体" w:hAnsi="宋体" w:eastAsia="宋体" w:cs="宋体"/>
              </w:rPr>
            </w:pPr>
            <w:r>
              <w:rPr>
                <w:rFonts w:ascii="宋体" w:hAnsi="宋体" w:eastAsia="宋体" w:cs="宋体"/>
              </w:rPr>
              <w:t>其他违约责任</w:t>
            </w:r>
          </w:p>
        </w:tc>
        <w:tc>
          <w:tcPr>
            <w:tcW w:w="5170" w:type="dxa"/>
            <w:tcBorders>
              <w:left w:val="single" w:color="auto" w:sz="2" w:space="0"/>
              <w:bottom w:val="single" w:color="auto" w:sz="2" w:space="0"/>
            </w:tcBorders>
            <w:vAlign w:val="center"/>
          </w:tcPr>
          <w:p w14:paraId="4B1C5AE7">
            <w:pPr>
              <w:adjustRightInd w:val="0"/>
              <w:snapToGrid w:val="0"/>
              <w:jc w:val="left"/>
              <w:rPr>
                <w:rFonts w:ascii="宋体" w:hAnsi="宋体" w:eastAsia="宋体" w:cs="宋体"/>
                <w:u w:val="single"/>
              </w:rPr>
            </w:pPr>
            <w:r>
              <w:rPr>
                <w:rFonts w:ascii="宋体" w:hAnsi="宋体" w:eastAsia="宋体" w:cs="Times New Roman"/>
                <w:color w:val="auto"/>
                <w:lang w:val="en-US" w:eastAsia="zh-CN"/>
              </w:rPr>
              <w:t>无。</w:t>
            </w:r>
          </w:p>
        </w:tc>
      </w:tr>
      <w:tr w14:paraId="5742A6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2EE2C8AC">
            <w:pPr>
              <w:adjustRightInd w:val="0"/>
              <w:snapToGrid w:val="0"/>
              <w:jc w:val="center"/>
              <w:rPr>
                <w:rFonts w:ascii="宋体" w:hAnsi="宋体" w:eastAsia="宋体" w:cs="宋体"/>
              </w:rPr>
            </w:pPr>
            <w:r>
              <w:rPr>
                <w:rFonts w:ascii="宋体" w:hAnsi="宋体" w:eastAsia="宋体" w:cs="宋体"/>
              </w:rPr>
              <w:t>第二节</w:t>
            </w:r>
          </w:p>
          <w:p w14:paraId="5A9C288B">
            <w:pPr>
              <w:adjustRightInd w:val="0"/>
              <w:snapToGrid w:val="0"/>
              <w:jc w:val="center"/>
              <w:rPr>
                <w:rFonts w:ascii="宋体" w:hAnsi="宋体" w:eastAsia="宋体" w:cs="宋体"/>
              </w:rPr>
            </w:pPr>
            <w:r>
              <w:rPr>
                <w:rFonts w:ascii="宋体" w:hAnsi="宋体" w:eastAsia="宋体" w:cs="宋体"/>
              </w:rPr>
              <w:t>第19.2款</w:t>
            </w:r>
          </w:p>
        </w:tc>
        <w:tc>
          <w:tcPr>
            <w:tcW w:w="1742" w:type="dxa"/>
            <w:tcBorders>
              <w:top w:val="single" w:color="auto" w:sz="2" w:space="0"/>
              <w:left w:val="single" w:color="auto" w:sz="2" w:space="0"/>
              <w:right w:val="single" w:color="auto" w:sz="2" w:space="0"/>
            </w:tcBorders>
            <w:vAlign w:val="center"/>
          </w:tcPr>
          <w:p w14:paraId="05D1CF3D">
            <w:pPr>
              <w:adjustRightInd w:val="0"/>
              <w:snapToGrid w:val="0"/>
              <w:jc w:val="left"/>
              <w:rPr>
                <w:rFonts w:ascii="宋体" w:hAnsi="宋体" w:eastAsia="宋体" w:cs="宋体"/>
              </w:rPr>
            </w:pPr>
            <w:r>
              <w:rPr>
                <w:rFonts w:ascii="宋体" w:hAnsi="宋体" w:eastAsia="宋体" w:cs="宋体"/>
              </w:rPr>
              <w:t>解决争议的方法</w:t>
            </w:r>
          </w:p>
        </w:tc>
        <w:tc>
          <w:tcPr>
            <w:tcW w:w="5170" w:type="dxa"/>
            <w:tcBorders>
              <w:top w:val="single" w:color="auto" w:sz="2" w:space="0"/>
              <w:left w:val="single" w:color="auto" w:sz="2" w:space="0"/>
            </w:tcBorders>
            <w:vAlign w:val="center"/>
          </w:tcPr>
          <w:p w14:paraId="3CF8311E">
            <w:pPr>
              <w:autoSpaceDE w:val="0"/>
              <w:autoSpaceDN w:val="0"/>
              <w:adjustRightInd w:val="0"/>
              <w:snapToGrid w:val="0"/>
              <w:spacing w:line="400" w:lineRule="exact"/>
              <w:jc w:val="left"/>
              <w:rPr>
                <w:rFonts w:ascii="宋体" w:hAnsi="宋体" w:eastAsia="宋体" w:cs="宋体"/>
                <w:iCs/>
                <w:lang w:eastAsia="zh-CN"/>
              </w:rPr>
            </w:pPr>
            <w:r>
              <w:rPr>
                <w:rFonts w:ascii="宋体" w:hAnsi="宋体" w:eastAsia="宋体" w:cs="宋体"/>
                <w:iCs/>
                <w:lang w:eastAsia="zh-CN"/>
              </w:rPr>
              <w:t>因本合同及合同有关事项发生的争议，按下列第</w:t>
            </w:r>
            <w:r>
              <w:rPr>
                <w:rFonts w:ascii="宋体" w:hAnsi="宋体" w:eastAsia="宋体" w:cs="宋体"/>
                <w:iCs/>
                <w:u w:val="single"/>
                <w:lang w:eastAsia="zh-CN"/>
              </w:rPr>
              <w:t xml:space="preserve"> （</w:t>
            </w:r>
            <w:r>
              <w:rPr>
                <w:rFonts w:ascii="宋体" w:hAnsi="宋体" w:eastAsia="宋体" w:cs="宋体"/>
                <w:iCs/>
                <w:u w:val="single"/>
                <w:lang w:val="en-US" w:eastAsia="zh-CN"/>
              </w:rPr>
              <w:t>2</w:t>
            </w:r>
            <w:r>
              <w:rPr>
                <w:rFonts w:ascii="宋体" w:hAnsi="宋体" w:eastAsia="宋体" w:cs="宋体"/>
                <w:iCs/>
                <w:u w:val="single"/>
                <w:lang w:eastAsia="zh-CN"/>
              </w:rPr>
              <w:t xml:space="preserve">） </w:t>
            </w:r>
            <w:r>
              <w:rPr>
                <w:rFonts w:ascii="宋体" w:hAnsi="宋体" w:eastAsia="宋体" w:cs="宋体"/>
                <w:iCs/>
                <w:lang w:eastAsia="zh-CN"/>
              </w:rPr>
              <w:t>种方式解决：</w:t>
            </w:r>
          </w:p>
          <w:p w14:paraId="51D76466">
            <w:pPr>
              <w:autoSpaceDE w:val="0"/>
              <w:autoSpaceDN w:val="0"/>
              <w:adjustRightInd w:val="0"/>
              <w:snapToGrid w:val="0"/>
              <w:spacing w:line="400" w:lineRule="exact"/>
              <w:jc w:val="left"/>
              <w:rPr>
                <w:rFonts w:ascii="宋体" w:hAnsi="宋体" w:eastAsia="宋体" w:cs="宋体"/>
                <w:iCs/>
                <w:lang w:eastAsia="zh-CN"/>
              </w:rPr>
            </w:pPr>
            <w:r>
              <w:rPr>
                <w:rFonts w:ascii="宋体" w:hAnsi="宋体" w:eastAsia="宋体" w:cs="宋体"/>
                <w:iCs/>
                <w:lang w:eastAsia="zh-CN"/>
              </w:rPr>
              <w:t>（1）向</w:t>
            </w:r>
            <w:r>
              <w:rPr>
                <w:rFonts w:ascii="宋体" w:hAnsi="宋体" w:eastAsia="宋体" w:cs="宋体"/>
                <w:iCs/>
                <w:u w:val="single"/>
                <w:lang w:eastAsia="zh-CN"/>
              </w:rPr>
              <w:t xml:space="preserve">                    </w:t>
            </w:r>
            <w:r>
              <w:rPr>
                <w:rFonts w:ascii="宋体" w:hAnsi="宋体" w:eastAsia="宋体" w:cs="宋体"/>
                <w:iCs/>
                <w:lang w:eastAsia="zh-CN"/>
              </w:rPr>
              <w:t>仲裁委员会申请仲裁，仲裁地点为</w:t>
            </w:r>
            <w:r>
              <w:rPr>
                <w:rFonts w:ascii="宋体" w:hAnsi="宋体" w:eastAsia="宋体" w:cs="宋体"/>
                <w:iCs/>
                <w:u w:val="single"/>
                <w:lang w:eastAsia="zh-CN"/>
              </w:rPr>
              <w:t xml:space="preserve">           </w:t>
            </w:r>
            <w:r>
              <w:rPr>
                <w:rFonts w:ascii="宋体" w:hAnsi="宋体" w:eastAsia="宋体" w:cs="宋体"/>
                <w:iCs/>
                <w:lang w:eastAsia="zh-CN"/>
              </w:rPr>
              <w:t>；</w:t>
            </w:r>
          </w:p>
          <w:p w14:paraId="592163B9">
            <w:pPr>
              <w:adjustRightInd w:val="0"/>
              <w:snapToGrid w:val="0"/>
              <w:jc w:val="left"/>
              <w:rPr>
                <w:rFonts w:ascii="宋体" w:hAnsi="宋体" w:eastAsia="宋体" w:cs="宋体"/>
                <w:u w:val="single"/>
                <w:lang w:eastAsia="zh-CN"/>
              </w:rPr>
            </w:pPr>
            <w:r>
              <w:rPr>
                <w:rFonts w:ascii="宋体" w:hAnsi="宋体" w:eastAsia="宋体" w:cs="宋体"/>
                <w:iCs/>
                <w:lang w:eastAsia="zh-CN"/>
              </w:rPr>
              <w:t>（2）向</w:t>
            </w:r>
            <w:r>
              <w:rPr>
                <w:rFonts w:ascii="宋体" w:hAnsi="宋体" w:eastAsia="宋体" w:cs="宋体"/>
                <w:iCs/>
                <w:u w:val="single"/>
                <w:lang w:eastAsia="zh-CN"/>
              </w:rPr>
              <w:t xml:space="preserve"> 甲方所在地 </w:t>
            </w:r>
            <w:r>
              <w:rPr>
                <w:rFonts w:ascii="宋体" w:hAnsi="宋体" w:eastAsia="宋体" w:cs="宋体"/>
                <w:iCs/>
                <w:lang w:eastAsia="zh-CN"/>
              </w:rPr>
              <w:t>人民法院起诉。</w:t>
            </w:r>
          </w:p>
        </w:tc>
      </w:tr>
      <w:tr w14:paraId="60F0A3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C03D210">
            <w:pPr>
              <w:adjustRightInd w:val="0"/>
              <w:snapToGrid w:val="0"/>
              <w:jc w:val="center"/>
              <w:rPr>
                <w:rFonts w:ascii="宋体" w:hAnsi="宋体" w:eastAsia="宋体" w:cs="宋体"/>
              </w:rPr>
            </w:pPr>
            <w:r>
              <w:rPr>
                <w:rFonts w:ascii="宋体" w:hAnsi="宋体" w:eastAsia="宋体" w:cs="宋体"/>
              </w:rPr>
              <w:t>第二节</w:t>
            </w:r>
          </w:p>
          <w:p w14:paraId="2CA51036">
            <w:pPr>
              <w:adjustRightInd w:val="0"/>
              <w:snapToGrid w:val="0"/>
              <w:jc w:val="center"/>
              <w:rPr>
                <w:rFonts w:ascii="宋体" w:hAnsi="宋体" w:eastAsia="宋体" w:cs="宋体"/>
              </w:rPr>
            </w:pPr>
            <w:r>
              <w:rPr>
                <w:rFonts w:ascii="宋体" w:hAnsi="宋体" w:eastAsia="宋体" w:cs="宋体"/>
              </w:rPr>
              <w:t>第23.1款</w:t>
            </w:r>
          </w:p>
        </w:tc>
        <w:tc>
          <w:tcPr>
            <w:tcW w:w="1742" w:type="dxa"/>
            <w:vAlign w:val="center"/>
          </w:tcPr>
          <w:p w14:paraId="03B1A2EB">
            <w:pPr>
              <w:adjustRightInd w:val="0"/>
              <w:snapToGrid w:val="0"/>
              <w:jc w:val="left"/>
              <w:rPr>
                <w:rFonts w:ascii="宋体" w:hAnsi="宋体" w:eastAsia="宋体" w:cs="宋体"/>
              </w:rPr>
            </w:pPr>
            <w:r>
              <w:rPr>
                <w:rFonts w:ascii="宋体" w:hAnsi="宋体" w:eastAsia="宋体" w:cs="宋体"/>
                <w:bCs/>
              </w:rPr>
              <w:t>其他专用条款</w:t>
            </w:r>
          </w:p>
        </w:tc>
        <w:tc>
          <w:tcPr>
            <w:tcW w:w="5170" w:type="dxa"/>
            <w:vAlign w:val="center"/>
          </w:tcPr>
          <w:p w14:paraId="38D85CC6">
            <w:pPr>
              <w:adjustRightInd w:val="0"/>
              <w:snapToGrid w:val="0"/>
              <w:jc w:val="left"/>
              <w:rPr>
                <w:rFonts w:ascii="宋体" w:hAnsi="宋体" w:eastAsia="宋体" w:cs="宋体"/>
                <w:lang w:val="en-US" w:eastAsia="zh-CN"/>
              </w:rPr>
            </w:pPr>
            <w:r>
              <w:rPr>
                <w:rFonts w:ascii="宋体" w:hAnsi="宋体" w:eastAsia="宋体" w:cs="宋体"/>
                <w:lang w:val="en-US" w:eastAsia="zh-CN"/>
              </w:rPr>
              <w:t>无。</w:t>
            </w:r>
          </w:p>
        </w:tc>
      </w:tr>
    </w:tbl>
    <w:p w14:paraId="586111A0">
      <w:pPr>
        <w:widowControl w:val="0"/>
        <w:spacing w:before="240" w:after="60"/>
        <w:jc w:val="center"/>
        <w:outlineLvl w:val="0"/>
        <w:rPr>
          <w:rFonts w:hint="default" w:ascii="Times New Roman" w:hAnsi="Times New Roman" w:eastAsia="宋体" w:cs="Times New Roman"/>
          <w:b/>
          <w:bCs/>
          <w:color w:val="auto"/>
          <w:kern w:val="44"/>
          <w:sz w:val="36"/>
          <w:szCs w:val="36"/>
          <w:lang w:val="en-US" w:eastAsia="zh-CN"/>
        </w:rPr>
      </w:pPr>
      <w:r>
        <w:br w:type="page"/>
      </w:r>
      <w:bookmarkStart w:id="508" w:name="_Toc22552"/>
      <w:r>
        <w:rPr>
          <w:rFonts w:hint="default" w:ascii="Times New Roman" w:hAnsi="Times New Roman" w:eastAsia="宋体" w:cs="Times New Roman"/>
          <w:b/>
          <w:bCs/>
          <w:color w:val="auto"/>
          <w:kern w:val="44"/>
          <w:sz w:val="36"/>
          <w:szCs w:val="36"/>
          <w:lang w:val="en-US" w:eastAsia="zh-CN"/>
        </w:rPr>
        <w:t xml:space="preserve">第九章 </w:t>
      </w:r>
      <w:r>
        <w:rPr>
          <w:rFonts w:hint="default" w:ascii="Times New Roman" w:hAnsi="Times New Roman" w:eastAsia="宋体" w:cs="Times New Roman"/>
          <w:b/>
          <w:bCs/>
          <w:color w:val="auto"/>
          <w:kern w:val="44"/>
          <w:sz w:val="36"/>
          <w:szCs w:val="36"/>
          <w:lang w:eastAsia="zh-CN"/>
        </w:rPr>
        <w:t>附件</w:t>
      </w:r>
      <w:bookmarkEnd w:id="508"/>
    </w:p>
    <w:p w14:paraId="10591791">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509" w:name="_Toc1527207384_WPSOffice_Level1"/>
      <w:bookmarkStart w:id="510" w:name="_Toc1681897155"/>
      <w:bookmarkStart w:id="511" w:name="_Toc722680689_WPSOffice_Level1"/>
      <w:r>
        <w:rPr>
          <w:rFonts w:hint="default" w:ascii="Times New Roman" w:hAnsi="Times New Roman" w:eastAsia="方正小标宋_GBK" w:cs="Times New Roman"/>
          <w:bCs/>
          <w:color w:val="auto"/>
          <w:kern w:val="0"/>
          <w:sz w:val="30"/>
          <w:szCs w:val="30"/>
          <w:lang w:val="en-US" w:eastAsia="zh-CN"/>
        </w:rPr>
        <w:t>附件1：河南省政府采购合同融资政策告知函</w:t>
      </w:r>
      <w:bookmarkEnd w:id="509"/>
      <w:bookmarkEnd w:id="510"/>
      <w:bookmarkEnd w:id="511"/>
    </w:p>
    <w:p w14:paraId="495A4D33">
      <w:pPr>
        <w:widowControl w:val="0"/>
        <w:spacing w:before="240" w:after="60"/>
        <w:jc w:val="left"/>
        <w:rPr>
          <w:rFonts w:hint="default" w:ascii="Times New Roman" w:hAnsi="Times New Roman" w:eastAsia="宋体" w:cs="Times New Roman"/>
          <w:b/>
          <w:bCs/>
          <w:color w:val="auto"/>
          <w:sz w:val="28"/>
          <w:szCs w:val="24"/>
          <w:lang w:val="en-US" w:eastAsia="zh-CN"/>
        </w:rPr>
      </w:pPr>
    </w:p>
    <w:p w14:paraId="541D3137">
      <w:pPr>
        <w:jc w:val="center"/>
        <w:rPr>
          <w:rFonts w:ascii="仿宋_GB2312" w:hAnsi="仿宋_GB2312" w:eastAsia="仿宋_GB2312" w:cs="仿宋_GB2312"/>
          <w:b/>
          <w:bCs/>
          <w:color w:val="auto"/>
          <w:sz w:val="28"/>
          <w:szCs w:val="28"/>
          <w:lang w:val="en-US" w:eastAsia="zh-CN"/>
        </w:rPr>
      </w:pPr>
      <w:bookmarkStart w:id="512" w:name="_Toc1775221587_WPSOffice_Level1"/>
      <w:bookmarkStart w:id="513" w:name="_Toc495162933_WPSOffice_Level2"/>
      <w:bookmarkStart w:id="514" w:name="_Toc285380293_WPSOffice_Level1"/>
      <w:bookmarkStart w:id="515" w:name="_Toc1740618990_WPSOffice_Level1"/>
      <w:bookmarkStart w:id="516" w:name="_Toc587059936_WPSOffice_Level2"/>
      <w:r>
        <w:rPr>
          <w:rFonts w:ascii="仿宋_GB2312" w:hAnsi="仿宋_GB2312" w:eastAsia="仿宋_GB2312" w:cs="仿宋_GB2312"/>
          <w:b/>
          <w:bCs/>
          <w:color w:val="auto"/>
          <w:sz w:val="28"/>
          <w:szCs w:val="28"/>
          <w:lang w:val="en-US" w:eastAsia="zh-CN"/>
        </w:rPr>
        <w:t>河南省政府采购合同融资政策告知函</w:t>
      </w:r>
      <w:bookmarkEnd w:id="512"/>
      <w:bookmarkEnd w:id="513"/>
      <w:bookmarkEnd w:id="514"/>
      <w:bookmarkEnd w:id="515"/>
      <w:bookmarkEnd w:id="516"/>
    </w:p>
    <w:p w14:paraId="50A03E0A">
      <w:pPr>
        <w:widowControl w:val="0"/>
        <w:rPr>
          <w:rFonts w:ascii="仿宋_GB2312" w:hAnsi="仿宋_GB2312" w:eastAsia="仿宋_GB2312" w:cs="仿宋_GB2312"/>
          <w:color w:val="auto"/>
          <w:sz w:val="28"/>
          <w:szCs w:val="28"/>
          <w:lang w:val="en-US" w:eastAsia="zh-CN"/>
        </w:rPr>
      </w:pPr>
    </w:p>
    <w:p w14:paraId="40AAA072">
      <w:pPr>
        <w:widowControl w:val="0"/>
        <w:spacing w:line="360" w:lineRule="auto"/>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各供应商：</w:t>
      </w:r>
    </w:p>
    <w:p w14:paraId="7CC8AB1C">
      <w:pPr>
        <w:widowControl w:val="0"/>
        <w:spacing w:line="360" w:lineRule="auto"/>
        <w:ind w:firstLine="560" w:firstLineChars="200"/>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欢迎贵公司参与河南省政府采购活动！</w:t>
      </w:r>
    </w:p>
    <w:p w14:paraId="2AB5DA14">
      <w:pPr>
        <w:widowControl w:val="0"/>
        <w:spacing w:line="360" w:lineRule="auto"/>
        <w:ind w:firstLine="560" w:firstLineChars="200"/>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3CB2E833">
      <w:pPr>
        <w:rPr>
          <w:rFonts w:hint="default" w:ascii="Times New Roman" w:hAnsi="Times New Roman" w:eastAsia="宋体" w:cs="Times New Roman"/>
          <w:b/>
          <w:bCs/>
          <w:color w:val="auto"/>
          <w:sz w:val="36"/>
          <w:szCs w:val="36"/>
          <w:lang w:eastAsia="zh-CN"/>
        </w:rPr>
      </w:pPr>
      <w:r>
        <w:rPr>
          <w:rFonts w:ascii="仿宋_GB2312" w:hAnsi="仿宋_GB2312" w:eastAsia="仿宋_GB2312" w:cs="仿宋_GB2312"/>
          <w:sz w:val="28"/>
          <w:szCs w:val="28"/>
          <w:lang w:eastAsia="zh-CN"/>
        </w:rPr>
        <w:t>贷款渠道和提供贷款的金融机构，可在河南省政府采购网“河南省政府采购合同融资平台”查询联系。</w:t>
      </w:r>
    </w:p>
    <w:p w14:paraId="4844A90B">
      <w:pPr>
        <w:spacing w:line="616" w:lineRule="exact"/>
        <w:ind w:right="86"/>
        <w:jc w:val="center"/>
        <w:rPr>
          <w:rFonts w:hint="default" w:ascii="Times New Roman" w:hAnsi="Times New Roman" w:cs="Times New Roman"/>
          <w:b/>
          <w:color w:val="auto"/>
          <w:sz w:val="52"/>
          <w:szCs w:val="52"/>
          <w:lang w:eastAsia="zh-CN"/>
        </w:rPr>
      </w:pPr>
    </w:p>
    <w:p w14:paraId="008F78C1">
      <w:pPr>
        <w:spacing w:line="360" w:lineRule="auto"/>
        <w:jc w:val="left"/>
        <w:rPr>
          <w:rFonts w:hint="default" w:ascii="Times New Roman" w:hAnsi="Times New Roman" w:cs="Times New Roman"/>
          <w:b/>
          <w:bCs/>
          <w:color w:val="auto"/>
          <w:sz w:val="28"/>
          <w:szCs w:val="28"/>
          <w:lang w:eastAsia="zh-CN"/>
        </w:rPr>
        <w:sectPr>
          <w:headerReference r:id="rId10" w:type="default"/>
          <w:footerReference r:id="rId11" w:type="default"/>
          <w:pgSz w:w="11900" w:h="16840"/>
          <w:pgMar w:top="1440" w:right="1080" w:bottom="1440" w:left="1080" w:header="851" w:footer="992" w:gutter="0"/>
          <w:cols w:space="720" w:num="1"/>
          <w:docGrid w:linePitch="286" w:charSpace="0"/>
        </w:sectPr>
      </w:pPr>
    </w:p>
    <w:p w14:paraId="1F8F7659">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517" w:name="_Toc898079186_WPSOffice_Level3"/>
      <w:bookmarkStart w:id="518" w:name="_Toc922531278_WPSOffice_Level1"/>
      <w:bookmarkStart w:id="519" w:name="_Toc1599394415_WPSOffice_Level1"/>
      <w:bookmarkStart w:id="520" w:name="_Toc1604095411"/>
      <w:r>
        <w:rPr>
          <w:rFonts w:hint="default" w:ascii="Times New Roman" w:hAnsi="Times New Roman" w:eastAsia="方正小标宋_GBK" w:cs="Times New Roman"/>
          <w:bCs/>
          <w:color w:val="auto"/>
          <w:kern w:val="0"/>
          <w:sz w:val="30"/>
          <w:szCs w:val="30"/>
          <w:lang w:val="en-US" w:eastAsia="zh-CN"/>
        </w:rPr>
        <w:t>附件2：</w:t>
      </w:r>
      <w:bookmarkEnd w:id="517"/>
      <w:r>
        <w:rPr>
          <w:rFonts w:hint="default" w:ascii="Times New Roman" w:hAnsi="Times New Roman" w:eastAsia="方正小标宋_GBK" w:cs="Times New Roman"/>
          <w:bCs/>
          <w:color w:val="auto"/>
          <w:kern w:val="0"/>
          <w:sz w:val="30"/>
          <w:szCs w:val="30"/>
          <w:lang w:val="en-US" w:eastAsia="zh-CN"/>
        </w:rPr>
        <w:t>中小企业划型标准规定</w:t>
      </w:r>
      <w:bookmarkEnd w:id="518"/>
      <w:bookmarkEnd w:id="519"/>
      <w:bookmarkEnd w:id="520"/>
    </w:p>
    <w:p w14:paraId="6AE308FC">
      <w:pPr>
        <w:jc w:val="center"/>
        <w:rPr>
          <w:rFonts w:hint="default" w:ascii="Times New Roman" w:hAnsi="Times New Roman" w:cs="Times New Roman"/>
          <w:b/>
          <w:bCs/>
          <w:color w:val="auto"/>
          <w:sz w:val="32"/>
          <w:szCs w:val="32"/>
          <w:lang w:eastAsia="zh-CN"/>
        </w:rPr>
      </w:pPr>
      <w:bookmarkStart w:id="521" w:name="_Toc853194655"/>
      <w:bookmarkStart w:id="522" w:name="_Toc1587242122"/>
      <w:bookmarkStart w:id="523" w:name="_Toc347624563"/>
      <w:bookmarkStart w:id="524" w:name="_Toc658018444_WPSOffice_Level2"/>
    </w:p>
    <w:p w14:paraId="62BD2C5F">
      <w:pPr>
        <w:jc w:val="center"/>
        <w:rPr>
          <w:rFonts w:hint="default" w:ascii="Times New Roman" w:hAnsi="Times New Roman" w:cs="Times New Roman"/>
          <w:b/>
          <w:bCs/>
          <w:color w:val="auto"/>
          <w:sz w:val="32"/>
          <w:szCs w:val="32"/>
          <w:lang w:eastAsia="zh-CN"/>
        </w:rPr>
      </w:pPr>
      <w:r>
        <w:rPr>
          <w:rFonts w:hint="default" w:ascii="Times New Roman" w:hAnsi="Times New Roman" w:cs="Times New Roman"/>
          <w:b/>
          <w:bCs/>
          <w:color w:val="auto"/>
          <w:sz w:val="32"/>
          <w:szCs w:val="32"/>
          <w:lang w:eastAsia="zh-CN"/>
        </w:rPr>
        <w:t>关于印发中小企业划型标准规定的通知</w:t>
      </w:r>
      <w:bookmarkEnd w:id="521"/>
      <w:bookmarkEnd w:id="522"/>
      <w:bookmarkEnd w:id="523"/>
      <w:bookmarkEnd w:id="524"/>
    </w:p>
    <w:p w14:paraId="26A5B3FF">
      <w:pPr>
        <w:pStyle w:val="45"/>
        <w:spacing w:line="480" w:lineRule="exact"/>
        <w:jc w:val="center"/>
        <w:rPr>
          <w:rFonts w:ascii="Times New Roman" w:hAnsi="Times New Roman" w:eastAsia="仿宋_GB2312" w:cs="Times New Roman"/>
          <w:sz w:val="28"/>
          <w:szCs w:val="28"/>
        </w:rPr>
      </w:pPr>
      <w:bookmarkStart w:id="525" w:name="_Toc1413325678_WPSOffice_Level3"/>
      <w:r>
        <w:rPr>
          <w:rFonts w:ascii="Times New Roman" w:hAnsi="Times New Roman" w:eastAsia="仿宋_GB2312" w:cs="Times New Roman"/>
          <w:sz w:val="28"/>
          <w:szCs w:val="28"/>
        </w:rPr>
        <w:t>工信部联企业[2011]300号</w:t>
      </w:r>
      <w:bookmarkEnd w:id="525"/>
    </w:p>
    <w:p w14:paraId="774783F3">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各省、自治区、直辖市人民政府，国务院各部委、各直属机构及有关单位：</w:t>
      </w:r>
    </w:p>
    <w:p w14:paraId="0907E780">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2A3126DC">
      <w:pPr>
        <w:pStyle w:val="45"/>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工业和信息化部　国家统计局</w:t>
      </w:r>
    </w:p>
    <w:p w14:paraId="2A79C516">
      <w:pPr>
        <w:pStyle w:val="45"/>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国家发展和改革委员会　财政部</w:t>
      </w:r>
    </w:p>
    <w:p w14:paraId="431F3FF1">
      <w:pPr>
        <w:pStyle w:val="45"/>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二〇一一年六月十八日</w:t>
      </w:r>
    </w:p>
    <w:p w14:paraId="7B11545C">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附件： </w:t>
      </w:r>
    </w:p>
    <w:p w14:paraId="5C688000">
      <w:pPr>
        <w:pStyle w:val="45"/>
        <w:spacing w:line="480" w:lineRule="exact"/>
        <w:jc w:val="center"/>
        <w:rPr>
          <w:rFonts w:ascii="Times New Roman" w:hAnsi="Times New Roman" w:eastAsia="仿宋_GB2312" w:cs="Times New Roman"/>
          <w:sz w:val="28"/>
          <w:szCs w:val="28"/>
        </w:rPr>
      </w:pPr>
      <w:bookmarkStart w:id="526" w:name="_Toc1817875417_WPSOffice_Level2"/>
      <w:r>
        <w:rPr>
          <w:rStyle w:val="54"/>
          <w:rFonts w:hint="eastAsia" w:ascii="Times New Roman" w:hAnsi="Times New Roman" w:eastAsia="仿宋_GB2312" w:cs="Times New Roman"/>
          <w:color w:val="000000"/>
          <w:kern w:val="2"/>
          <w:sz w:val="28"/>
          <w:szCs w:val="28"/>
          <w:lang w:val="zh-TW"/>
        </w:rPr>
        <w:t>中小企业划型标准规定</w:t>
      </w:r>
      <w:bookmarkEnd w:id="526"/>
    </w:p>
    <w:p w14:paraId="16BA6CB9">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一、根据《中华人民共和国中小企业促进法》和《国务院关于进一步促进中小企业发展的若干意见》(国发〔2009〕36号)，制定本规定。</w:t>
      </w:r>
    </w:p>
    <w:p w14:paraId="70B113BF">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二、中小企业划分为中型、小型、微型三种类型，具体标准根据企业从业人员、营业收入、资产总额等指标，结合行业特点制定。</w:t>
      </w:r>
    </w:p>
    <w:p w14:paraId="75093C0E">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87B3A53">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四、各行业划型标准为：</w:t>
      </w:r>
    </w:p>
    <w:p w14:paraId="07458FBA">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（一）农、林、牧、渔业。营业收入20000万元以下的为中小微型企业。其中，营业收入500万元及以上的为中型企业，营业收入50万元及以上的为小型企业，营业收入50万元以下的为微型企业。</w:t>
      </w:r>
    </w:p>
    <w:p w14:paraId="763E6DDD">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11B8C68">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2BE53C8">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455180C3">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1BD7789">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E1A57DE">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E04B38E">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5F64CE5">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010F30B">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03B47EE">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69626EB">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8222931">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FDEB6B3">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17ABE3E">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0D7C54F">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（十六）其他未列明行业。从业人员300人以下的为中小微型企业。其中，从业人员100人及以上的为中型企业；从业人员10人及以上的为小型企业；从业人员10人以下的为微型企业。</w:t>
      </w:r>
    </w:p>
    <w:p w14:paraId="306490E8">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五、企业类型的划分以统计部门的统计数据为依据。</w:t>
      </w:r>
    </w:p>
    <w:p w14:paraId="7588B120">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六、本规定适用于在中华人民共和国境内依法设立的各类所有制和各种组织形式的企业。个体工商户和本规定以外的行业，参照本规定进行划型。</w:t>
      </w:r>
    </w:p>
    <w:p w14:paraId="30C997B0">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七、本规定的中型企业标准上限即为大型企业标准的下限，国家统计部门据此制定大中小微型企业的统计分类。国务院有关部门据此进行相关数据分析，不得制定与本规定不一致的企业划型标准。</w:t>
      </w:r>
    </w:p>
    <w:p w14:paraId="3465B29D">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八、本规定由工业和信息化部、国家统计局会同有关部门根据《国民经济行业分类》修订情况和企业发展变化情况适时修订。</w:t>
      </w:r>
    </w:p>
    <w:p w14:paraId="4E42F80C">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九、本规定由工业和信息化部、国家统计局会同有关部门负责解释。</w:t>
      </w:r>
    </w:p>
    <w:p w14:paraId="5ECC99F0">
      <w:pPr>
        <w:pStyle w:val="45"/>
        <w:spacing w:line="480" w:lineRule="exact"/>
        <w:rPr>
          <w:rFonts w:hint="eastAsia"/>
        </w:rPr>
      </w:pPr>
      <w:r>
        <w:rPr>
          <w:rFonts w:ascii="Times New Roman" w:hAnsi="Times New Roman" w:eastAsia="仿宋_GB2312" w:cs="Times New Roman"/>
          <w:sz w:val="28"/>
          <w:szCs w:val="28"/>
        </w:rPr>
        <w:t>　　十、本规定自发布之日起执行，原国家经贸委、原国家计委、财政部和国家统计局2003年颁布的《中小企业标准暂行规定》同时废止。</w:t>
      </w:r>
    </w:p>
    <w:sectPr>
      <w:headerReference r:id="rId12" w:type="default"/>
      <w:footerReference r:id="rId13" w:type="default"/>
      <w:pgSz w:w="11900" w:h="16840"/>
      <w:pgMar w:top="1440" w:right="1797" w:bottom="1440" w:left="1797" w:header="851" w:footer="992" w:gutter="0"/>
      <w:cols w:space="720" w:num="1"/>
      <w:docGrid w:linePitch="2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AD83BF5-1D75-4A5C-9163-67B097C195E9}"/>
  </w:font>
  <w:font w:name="Arial">
    <w:panose1 w:val="020B0604020202020204"/>
    <w:charset w:val="01"/>
    <w:family w:val="swiss"/>
    <w:pitch w:val="default"/>
    <w:sig w:usb0="E0002EFF" w:usb1="C000785B" w:usb2="00000009" w:usb3="00000000" w:csb0="400001FF" w:csb1="FFFF0000"/>
    <w:embedRegular r:id="rId2" w:fontKey="{DAB9DB17-2B03-4664-AA56-4CDB56E058EF}"/>
  </w:font>
  <w:font w:name="黑体">
    <w:panose1 w:val="02010609060101010101"/>
    <w:charset w:val="86"/>
    <w:family w:val="auto"/>
    <w:pitch w:val="default"/>
    <w:sig w:usb0="800002BF" w:usb1="38CF7CFA" w:usb2="00000016" w:usb3="00000000" w:csb0="00040001" w:csb1="00000000"/>
    <w:embedRegular r:id="rId3" w:fontKey="{163C5406-DF01-42EC-AE7E-9EC48A2F505A}"/>
  </w:font>
  <w:font w:name="Courier New">
    <w:panose1 w:val="02070309020205020404"/>
    <w:charset w:val="01"/>
    <w:family w:val="modern"/>
    <w:pitch w:val="default"/>
    <w:sig w:usb0="E0002EFF" w:usb1="C0007843" w:usb2="00000009" w:usb3="00000000" w:csb0="400001FF" w:csb1="FFFF0000"/>
    <w:embedRegular r:id="rId4" w:fontKey="{860F4A46-44DF-406B-AE21-A2645B820C4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7F31E736-C6BC-4223-B196-1E501066C13A}"/>
  </w:font>
  <w:font w:name="Arial Unicode MS">
    <w:altName w:val="Malgun Gothic Semilight"/>
    <w:panose1 w:val="020B0604020202020204"/>
    <w:charset w:val="00"/>
    <w:family w:val="swiss"/>
    <w:pitch w:val="default"/>
    <w:sig w:usb0="00000000" w:usb1="00000000" w:usb2="0000003F" w:usb3="00000000" w:csb0="603F01FF" w:csb1="FFFF0000"/>
  </w:font>
  <w:font w:name="Malgun Gothic Semilight">
    <w:panose1 w:val="020B0502040204020203"/>
    <w:charset w:val="86"/>
    <w:family w:val="auto"/>
    <w:pitch w:val="default"/>
    <w:sig w:usb0="900002AF" w:usb1="01D77CFB" w:usb2="00000012" w:usb3="00000000" w:csb0="203E01BD" w:csb1="D7FF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6" w:fontKey="{97336FD8-6A2E-45CB-9811-C6104AAFF56E}"/>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embedRegular r:id="rId7" w:fontKey="{B27EB8B0-C194-4583-A64F-FE794CDB24DF}"/>
  </w:font>
  <w:font w:name="华文楷体">
    <w:panose1 w:val="02010600040101010101"/>
    <w:charset w:val="86"/>
    <w:family w:val="auto"/>
    <w:pitch w:val="default"/>
    <w:sig w:usb0="00000287" w:usb1="080F0000" w:usb2="00000000" w:usb3="00000000" w:csb0="0004009F" w:csb1="DFD70000"/>
    <w:embedRegular r:id="rId8" w:fontKey="{3B5FA20C-E002-49AF-B6E7-94C46F0E9C2F}"/>
  </w:font>
  <w:font w:name="微软雅黑 Light">
    <w:panose1 w:val="020B0502040204020203"/>
    <w:charset w:val="86"/>
    <w:family w:val="swiss"/>
    <w:pitch w:val="default"/>
    <w:sig w:usb0="80000287" w:usb1="2ACF0010" w:usb2="00000016" w:usb3="00000000" w:csb0="0004001F" w:csb1="00000000"/>
  </w:font>
  <w:font w:name="Helvetica Neue">
    <w:altName w:val="Arial"/>
    <w:panose1 w:val="00000000000000000000"/>
    <w:charset w:val="00"/>
    <w:family w:val="auto"/>
    <w:pitch w:val="default"/>
    <w:sig w:usb0="00000000" w:usb1="00000000" w:usb2="00000010" w:usb3="00000000" w:csb0="00000000" w:csb1="00000000"/>
  </w:font>
  <w:font w:name="Tahoma">
    <w:panose1 w:val="020B0604030504040204"/>
    <w:charset w:val="00"/>
    <w:family w:val="swiss"/>
    <w:pitch w:val="default"/>
    <w:sig w:usb0="E1002EFF" w:usb1="C000605B" w:usb2="00000029" w:usb3="00000000" w:csb0="200101FF" w:csb1="20280000"/>
  </w:font>
  <w:font w:name="方正小标宋_GBK">
    <w:altName w:val="微软雅黑"/>
    <w:panose1 w:val="00000000000000000000"/>
    <w:charset w:val="86"/>
    <w:family w:val="script"/>
    <w:pitch w:val="default"/>
    <w:sig w:usb0="00000000" w:usb1="00000000" w:usb2="00000000" w:usb3="00000000" w:csb0="00040000" w:csb1="00000000"/>
    <w:embedRegular r:id="rId9" w:fontKey="{86741DF3-7B90-435B-B85B-D14840B57383}"/>
  </w:font>
  <w:font w:name="仿宋">
    <w:panose1 w:val="02010609060101010101"/>
    <w:charset w:val="86"/>
    <w:family w:val="modern"/>
    <w:pitch w:val="default"/>
    <w:sig w:usb0="800002BF" w:usb1="38CF7CFA" w:usb2="00000016" w:usb3="00000000" w:csb0="00040001" w:csb1="00000000"/>
    <w:embedRegular r:id="rId10" w:fontKey="{14B12ADA-6CDC-425F-8E0A-CBD6741BC265}"/>
  </w:font>
  <w:font w:name="Wingdings 2">
    <w:panose1 w:val="05020102010507070707"/>
    <w:charset w:val="02"/>
    <w:family w:val="roman"/>
    <w:pitch w:val="default"/>
    <w:sig w:usb0="00000000" w:usb1="00000000" w:usb2="00000000" w:usb3="00000000" w:csb0="80000000" w:csb1="00000000"/>
    <w:embedRegular r:id="rId11" w:fontKey="{EF29A5D7-313A-41C8-B0D1-EF685B755656}"/>
  </w:font>
  <w:font w:name="CESI楷体-GB2312">
    <w:altName w:val="宋体"/>
    <w:panose1 w:val="00000000000000000000"/>
    <w:charset w:val="86"/>
    <w:family w:val="auto"/>
    <w:pitch w:val="default"/>
    <w:sig w:usb0="00000000" w:usb1="00000000" w:usb2="00000012" w:usb3="00000000" w:csb0="0004000F" w:csb1="00000000"/>
    <w:embedRegular r:id="rId12" w:fontKey="{B6A46C4E-DB94-4AFE-8226-4217CFE80928}"/>
  </w:font>
  <w:font w:name="FangSong_GB2312">
    <w:altName w:val="仿宋_GB2312"/>
    <w:panose1 w:val="02010609030101010101"/>
    <w:charset w:val="86"/>
    <w:family w:val="modern"/>
    <w:pitch w:val="default"/>
    <w:sig w:usb0="00000000" w:usb1="00000000" w:usb2="00000000" w:usb3="00000000" w:csb0="00040000" w:csb1="00000000"/>
    <w:embedRegular r:id="rId13" w:fontKey="{76E8D70B-6648-4590-A108-F00D810FE358}"/>
  </w:font>
  <w:font w:name="华文中宋">
    <w:panose1 w:val="02010600040101010101"/>
    <w:charset w:val="86"/>
    <w:family w:val="auto"/>
    <w:pitch w:val="default"/>
    <w:sig w:usb0="00000287" w:usb1="080F0000" w:usb2="00000000" w:usb3="00000000" w:csb0="0004009F" w:csb1="DFD70000"/>
    <w:embedRegular r:id="rId14" w:fontKey="{6B24BA8E-66E9-46FA-8C94-F74A9EE24F6B}"/>
  </w:font>
  <w:font w:name="汉仪书宋二S">
    <w:altName w:val="宋体"/>
    <w:panose1 w:val="00000000000000000000"/>
    <w:charset w:val="00"/>
    <w:family w:val="auto"/>
    <w:pitch w:val="default"/>
    <w:sig w:usb0="00000000" w:usb1="00000000" w:usb2="00000000" w:usb3="00000000" w:csb0="00040001" w:csb1="00000000"/>
    <w:embedRegular r:id="rId15" w:fontKey="{94C55466-98F6-4FD2-90B4-659FA6164D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4450F">
    <w:pPr>
      <w:pStyle w:val="30"/>
      <w:rPr>
        <w:rFonts w:hint="eastAsia"/>
      </w:rPr>
    </w:pPr>
    <w:r>
      <w:rPr>
        <w:lang w:val="en-US" w:eastAsia="zh-CN"/>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7785" cy="147955"/>
              <wp:effectExtent l="0" t="0" r="0" b="0"/>
              <wp:wrapNone/>
              <wp:docPr id="1661881411" name="文本框 8"/>
              <wp:cNvGraphicFramePr/>
              <a:graphic xmlns:a="http://schemas.openxmlformats.org/drawingml/2006/main">
                <a:graphicData uri="http://schemas.microsoft.com/office/word/2010/wordprocessingShape">
                  <wps:wsp>
                    <wps:cNvSpPr txBox="1">
                      <a:spLocks noChangeArrowheads="1"/>
                    </wps:cNvSpPr>
                    <wps:spPr bwMode="auto">
                      <a:xfrm>
                        <a:off x="0" y="0"/>
                        <a:ext cx="57785" cy="147955"/>
                      </a:xfrm>
                      <a:prstGeom prst="rect">
                        <a:avLst/>
                      </a:prstGeom>
                      <a:noFill/>
                      <a:ln>
                        <a:noFill/>
                      </a:ln>
                      <a:effectLst/>
                    </wps:spPr>
                    <wps:txbx>
                      <w:txbxContent>
                        <w:p w14:paraId="73BC0A29">
                          <w:pPr>
                            <w:pStyle w:val="30"/>
                            <w:rPr>
                              <w:rFonts w:hint="eastAsia"/>
                            </w:rPr>
                          </w:pPr>
                          <w:r>
                            <w:fldChar w:fldCharType="begin"/>
                          </w:r>
                          <w:r>
                            <w:instrText xml:space="preserve"> PAGE  \* MERGEFORMAT </w:instrText>
                          </w:r>
                          <w:r>
                            <w:fldChar w:fldCharType="separate"/>
                          </w:r>
                          <w:r>
                            <w:rPr>
                              <w:lang w:val="en-US" w:eastAsia="zh-CN"/>
                            </w:rPr>
                            <w:t>170</w:t>
                          </w:r>
                          <w:r>
                            <w:fldChar w:fldCharType="end"/>
                          </w:r>
                        </w:p>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1.65pt;width:4.55pt;mso-position-horizontal:center;mso-position-horizontal-relative:margin;mso-wrap-style:none;z-index:251663360;mso-width-relative:page;mso-height-relative:page;" filled="f" stroked="f" coordsize="21600,21600" o:gfxdata="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nyxwC0QAAAAIBAAAPAAAAAAAAAAEA&#10;IAAAACIAAABkcnMvZG93bnJldi54bWxQSwECFAAUAAAACACHTuJAiWSgaRYCAAAYBAAADgAAAAAA&#10;AAABACAAAAAgAQAAZHJzL2Uyb0RvYy54bWxQSwUGAAAAAAYABgBZAQAAqAUAAAAA&#10;">
              <v:fill on="f" focussize="0,0"/>
              <v:stroke on="f"/>
              <v:imagedata o:title=""/>
              <o:lock v:ext="edit" aspectratio="f"/>
              <v:textbox inset="0mm,0mm,0mm,0mm" style="mso-fit-shape-to-text:t;">
                <w:txbxContent>
                  <w:p w14:paraId="73BC0A29">
                    <w:pPr>
                      <w:pStyle w:val="30"/>
                      <w:rPr>
                        <w:rFonts w:hint="eastAsia"/>
                      </w:rPr>
                    </w:pPr>
                    <w:r>
                      <w:fldChar w:fldCharType="begin"/>
                    </w:r>
                    <w:r>
                      <w:instrText xml:space="preserve"> PAGE  \* MERGEFORMAT </w:instrText>
                    </w:r>
                    <w:r>
                      <w:fldChar w:fldCharType="separate"/>
                    </w:r>
                    <w:r>
                      <w:rPr>
                        <w:lang w:val="en-US" w:eastAsia="zh-CN"/>
                      </w:rPr>
                      <w:t>170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E2282">
    <w:pPr>
      <w:pStyle w:val="30"/>
      <w:rPr>
        <w:rFonts w:hint="eastAsia"/>
      </w:rPr>
    </w:pPr>
    <w:r>
      <w:rPr>
        <w:lang w:val="en-US"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47955"/>
              <wp:effectExtent l="0" t="0" r="0" b="0"/>
              <wp:wrapNone/>
              <wp:docPr id="10088839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7785" cy="147955"/>
                      </a:xfrm>
                      <a:prstGeom prst="rect">
                        <a:avLst/>
                      </a:prstGeom>
                      <a:noFill/>
                      <a:ln>
                        <a:noFill/>
                      </a:ln>
                      <a:effectLst/>
                    </wps:spPr>
                    <wps:txbx>
                      <w:txbxContent>
                        <w:p w14:paraId="2BBBEA0B">
                          <w:pPr>
                            <w:pStyle w:val="30"/>
                            <w:rPr>
                              <w:rFonts w:hint="eastAsia"/>
                            </w:rPr>
                          </w:pPr>
                          <w:r>
                            <w:fldChar w:fldCharType="begin"/>
                          </w:r>
                          <w:r>
                            <w:instrText xml:space="preserve"> PAGE  \* MERGEFORMAT </w:instrText>
                          </w:r>
                          <w:r>
                            <w:fldChar w:fldCharType="separate"/>
                          </w:r>
                          <w:r>
                            <w:rPr>
                              <w:lang w:val="en-US" w:eastAsia="zh-CN"/>
                            </w:rPr>
                            <w:t>50</w:t>
                          </w:r>
                          <w: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4.55pt;mso-position-horizontal:center;mso-position-horizontal-relative:margin;mso-wrap-style:none;z-index:251659264;mso-width-relative:page;mso-height-relative:page;" filled="f" stroked="f" coordsize="21600,21600" o:gfxdata="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fLHALRAAAAAgEAAA8AAAAAAAAAAQAg&#10;AAAAIgAAAGRycy9kb3ducmV2LnhtbFBLAQIUABQAAAAIAIdO4kAi1QWJFQIAABgEAAAOAAAAAAAA&#10;AAEAIAAAACABAABkcnMvZTJvRG9jLnhtbFBLBQYAAAAABgAGAFkBAACnBQAAAAA=&#10;">
              <v:fill on="f" focussize="0,0"/>
              <v:stroke on="f"/>
              <v:imagedata o:title=""/>
              <o:lock v:ext="edit" aspectratio="f"/>
              <v:textbox inset="0mm,0mm,0mm,0mm" style="mso-fit-shape-to-text:t;">
                <w:txbxContent>
                  <w:p w14:paraId="2BBBEA0B">
                    <w:pPr>
                      <w:pStyle w:val="30"/>
                      <w:rPr>
                        <w:rFonts w:hint="eastAsia"/>
                      </w:rPr>
                    </w:pPr>
                    <w:r>
                      <w:fldChar w:fldCharType="begin"/>
                    </w:r>
                    <w:r>
                      <w:instrText xml:space="preserve"> PAGE  \* MERGEFORMAT </w:instrText>
                    </w:r>
                    <w:r>
                      <w:fldChar w:fldCharType="separate"/>
                    </w:r>
                    <w:r>
                      <w:rPr>
                        <w:lang w:val="en-US" w:eastAsia="zh-CN"/>
                      </w:rPr>
                      <w:t>50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249A7">
    <w:pPr>
      <w:pStyle w:val="30"/>
      <w:rPr>
        <w:rFonts w:hint="eastAsia"/>
      </w:rPr>
    </w:pPr>
    <w:r>
      <w:rPr>
        <w:lang w:val="en-US"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7955"/>
              <wp:effectExtent l="0" t="0" r="0" b="0"/>
              <wp:wrapNone/>
              <wp:docPr id="31285110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14:paraId="7923EF3D">
                          <w:pPr>
                            <w:pStyle w:val="30"/>
                            <w:rPr>
                              <w:rFonts w:hint="eastAsia"/>
                            </w:rPr>
                          </w:pPr>
                          <w:r>
                            <w:fldChar w:fldCharType="begin"/>
                          </w:r>
                          <w:r>
                            <w:instrText xml:space="preserve"> PAGE  \* MERGEFORMAT </w:instrText>
                          </w:r>
                          <w:r>
                            <w:fldChar w:fldCharType="separate"/>
                          </w:r>
                          <w:r>
                            <w:rPr>
                              <w:lang w:val="en-US" w:eastAsia="zh-CN"/>
                            </w:rPr>
                            <w:t>184</w:t>
                          </w:r>
                          <w: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9.05pt;mso-position-horizontal:center;mso-position-horizontal-relative:margin;mso-wrap-style:none;z-index:251660288;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pb8P0QAAAAMBAAAPAAAAAAAAAAEA&#10;IAAAACIAAABkcnMvZG93bnJldi54bWxQSwECFAAUAAAACACHTuJA9H4SERYCAAAYBAAADgAAAAAA&#10;AAABACAAAAAgAQAAZHJzL2Uyb0RvYy54bWxQSwUGAAAAAAYABgBZAQAAqAUAAAAA&#10;">
              <v:fill on="f" focussize="0,0"/>
              <v:stroke on="f"/>
              <v:imagedata o:title=""/>
              <o:lock v:ext="edit" aspectratio="f"/>
              <v:textbox inset="0mm,0mm,0mm,0mm" style="mso-fit-shape-to-text:t;">
                <w:txbxContent>
                  <w:p w14:paraId="7923EF3D">
                    <w:pPr>
                      <w:pStyle w:val="30"/>
                      <w:rPr>
                        <w:rFonts w:hint="eastAsia"/>
                      </w:rPr>
                    </w:pPr>
                    <w:r>
                      <w:fldChar w:fldCharType="begin"/>
                    </w:r>
                    <w:r>
                      <w:instrText xml:space="preserve"> PAGE  \* MERGEFORMAT </w:instrText>
                    </w:r>
                    <w:r>
                      <w:fldChar w:fldCharType="separate"/>
                    </w:r>
                    <w:r>
                      <w:rPr>
                        <w:lang w:val="en-US" w:eastAsia="zh-CN"/>
                      </w:rPr>
                      <w:t>184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1CFDE">
    <w:pPr>
      <w:ind w:right="360"/>
      <w:rPr>
        <w:rFonts w:ascii="宋体" w:hAnsi="宋体" w:eastAsia="宋体" w:cs="Times New Roman"/>
        <w:kern w:val="0"/>
        <w:sz w:val="18"/>
        <w:szCs w:val="18"/>
      </w:rPr>
    </w:pPr>
    <w:r>
      <w:rPr>
        <w:rFonts w:hint="default" w:ascii="宋体" w:hAnsi="宋体" w:eastAsia="宋体" w:cs="Times New Roman"/>
        <w:kern w:val="0"/>
        <w:sz w:val="18"/>
        <w:szCs w:val="18"/>
        <w:lang w:val="en-US" w:eastAsia="zh-CN"/>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935" cy="147955"/>
              <wp:effectExtent l="0" t="0" r="0" b="0"/>
              <wp:wrapNone/>
              <wp:docPr id="1603236380" name="文本框 7"/>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14:paraId="7C6FFFDD">
                          <w:pPr>
                            <w:rPr>
                              <w:rFonts w:ascii="宋体" w:hAnsi="宋体" w:eastAsia="宋体" w:cs="Times New Roman"/>
                              <w:kern w:val="0"/>
                              <w:sz w:val="18"/>
                              <w:szCs w:val="18"/>
                            </w:rPr>
                          </w:pPr>
                          <w:r>
                            <w:rPr>
                              <w:rFonts w:hint="default" w:ascii="宋体" w:hAnsi="宋体" w:eastAsia="宋体" w:cs="Times New Roman"/>
                              <w:kern w:val="0"/>
                              <w:sz w:val="18"/>
                              <w:szCs w:val="18"/>
                            </w:rPr>
                            <w:fldChar w:fldCharType="begin"/>
                          </w:r>
                          <w:r>
                            <w:rPr>
                              <w:rFonts w:hint="default" w:ascii="宋体" w:hAnsi="宋体" w:eastAsia="宋体" w:cs="Times New Roman"/>
                              <w:kern w:val="0"/>
                              <w:sz w:val="18"/>
                              <w:szCs w:val="18"/>
                            </w:rPr>
                            <w:instrText xml:space="preserve"> PAGE  \* MERGEFORMAT </w:instrText>
                          </w:r>
                          <w:r>
                            <w:rPr>
                              <w:rFonts w:hint="default" w:ascii="宋体" w:hAnsi="宋体" w:eastAsia="宋体" w:cs="Times New Roman"/>
                              <w:kern w:val="0"/>
                              <w:sz w:val="18"/>
                              <w:szCs w:val="18"/>
                            </w:rPr>
                            <w:fldChar w:fldCharType="separate"/>
                          </w:r>
                          <w:r>
                            <w:rPr>
                              <w:rFonts w:hint="default" w:ascii="宋体" w:hAnsi="宋体" w:eastAsia="宋体" w:cs="Times New Roman"/>
                              <w:kern w:val="0"/>
                              <w:sz w:val="18"/>
                              <w:szCs w:val="18"/>
                            </w:rPr>
                            <w:t>193</w:t>
                          </w:r>
                          <w:r>
                            <w:rPr>
                              <w:rFonts w:hint="default" w:ascii="宋体" w:hAnsi="宋体" w:eastAsia="宋体" w:cs="Times New Roman"/>
                              <w:kern w:val="0"/>
                              <w:sz w:val="18"/>
                              <w:szCs w:val="18"/>
                            </w:rPr>
                            <w:fldChar w:fldCharType="end"/>
                          </w:r>
                        </w:p>
                      </w:txbxContent>
                    </wps:txbx>
                    <wps:bodyPr rot="0" vert="horz" wrap="none" lIns="0" tIns="0" rIns="0" bIns="0" anchor="t" anchorCtr="0" upright="1">
                      <a:spAutoFit/>
                    </wps:bodyPr>
                  </wps:wsp>
                </a:graphicData>
              </a:graphic>
            </wp:anchor>
          </w:drawing>
        </mc:Choice>
        <mc:Fallback>
          <w:pict>
            <v:shape id="文本框 7" o:spid="_x0000_s1026" o:spt="202" type="#_x0000_t202" style="position:absolute;left:0pt;margin-top:0pt;height:11.65pt;width:9.05pt;mso-position-horizontal:center;mso-position-horizontal-relative:margin;mso-wrap-style:none;z-index:251665408;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6W/D9EAAAADAQAADwAAAAAAAAAB&#10;ACAAAAAiAAAAZHJzL2Rvd25yZXYueG1sUEsBAhQAFAAAAAgAh07iQMITSSkXAgAAGQQAAA4AAAAA&#10;AAAAAQAgAAAAIAEAAGRycy9lMm9Eb2MueG1sUEsFBgAAAAAGAAYAWQEAAKkFAAAAAA==&#10;">
              <v:fill on="f" focussize="0,0"/>
              <v:stroke on="f"/>
              <v:imagedata o:title=""/>
              <o:lock v:ext="edit" aspectratio="f"/>
              <v:textbox inset="0mm,0mm,0mm,0mm" style="mso-fit-shape-to-text:t;">
                <w:txbxContent>
                  <w:p w14:paraId="7C6FFFDD">
                    <w:pPr>
                      <w:rPr>
                        <w:rFonts w:ascii="宋体" w:hAnsi="宋体" w:eastAsia="宋体" w:cs="Times New Roman"/>
                        <w:kern w:val="0"/>
                        <w:sz w:val="18"/>
                        <w:szCs w:val="18"/>
                      </w:rPr>
                    </w:pPr>
                    <w:r>
                      <w:rPr>
                        <w:rFonts w:hint="default" w:ascii="宋体" w:hAnsi="宋体" w:eastAsia="宋体" w:cs="Times New Roman"/>
                        <w:kern w:val="0"/>
                        <w:sz w:val="18"/>
                        <w:szCs w:val="18"/>
                      </w:rPr>
                      <w:fldChar w:fldCharType="begin"/>
                    </w:r>
                    <w:r>
                      <w:rPr>
                        <w:rFonts w:hint="default" w:ascii="宋体" w:hAnsi="宋体" w:eastAsia="宋体" w:cs="Times New Roman"/>
                        <w:kern w:val="0"/>
                        <w:sz w:val="18"/>
                        <w:szCs w:val="18"/>
                      </w:rPr>
                      <w:instrText xml:space="preserve"> PAGE  \* MERGEFORMAT </w:instrText>
                    </w:r>
                    <w:r>
                      <w:rPr>
                        <w:rFonts w:hint="default" w:ascii="宋体" w:hAnsi="宋体" w:eastAsia="宋体" w:cs="Times New Roman"/>
                        <w:kern w:val="0"/>
                        <w:sz w:val="18"/>
                        <w:szCs w:val="18"/>
                      </w:rPr>
                      <w:fldChar w:fldCharType="separate"/>
                    </w:r>
                    <w:r>
                      <w:rPr>
                        <w:rFonts w:hint="default" w:ascii="宋体" w:hAnsi="宋体" w:eastAsia="宋体" w:cs="Times New Roman"/>
                        <w:kern w:val="0"/>
                        <w:sz w:val="18"/>
                        <w:szCs w:val="18"/>
                      </w:rPr>
                      <w:t>193</w:t>
                    </w:r>
                    <w:r>
                      <w:rPr>
                        <w:rFonts w:hint="default" w:ascii="宋体" w:hAnsi="宋体" w:eastAsia="宋体" w:cs="Times New Roman"/>
                        <w:kern w:val="0"/>
                        <w:sz w:val="18"/>
                        <w:szCs w:val="18"/>
                      </w:rPr>
                      <w:fldChar w:fldCharType="end"/>
                    </w:r>
                  </w:p>
                </w:txbxContent>
              </v:textbox>
            </v:shape>
          </w:pict>
        </mc:Fallback>
      </mc:AlternateContent>
    </w:r>
    <w:r>
      <w:rPr>
        <w:rFonts w:hint="default" w:ascii="宋体" w:hAnsi="宋体" w:eastAsia="宋体" w:cs="Times New Roman"/>
        <w:kern w:val="0"/>
        <w:sz w:val="18"/>
        <w:szCs w:val="18"/>
        <w:lang w:val="en-US" w:eastAsia="zh-CN"/>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935" cy="153035"/>
              <wp:effectExtent l="0" t="0" r="0" b="0"/>
              <wp:wrapNone/>
              <wp:docPr id="1422432499"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6F7F2CD7"/>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2.05pt;width:9.05pt;mso-position-horizontal:center;mso-position-horizontal-relative:margin;mso-wrap-style:none;z-index:251664384;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CspX+4VAgAAGQQAAA4AAAAAAAAA&#10;AQAgAAAAHwEAAGRycy9lMm9Eb2MueG1sUEsFBgAAAAAGAAYAWQEAAKYFAAAAAA==&#10;">
              <v:fill on="f" focussize="0,0"/>
              <v:stroke on="f"/>
              <v:imagedata o:title=""/>
              <o:lock v:ext="edit" aspectratio="f"/>
              <v:textbox inset="0mm,0mm,0mm,0mm" style="mso-fit-shape-to-text:t;">
                <w:txbxContent>
                  <w:p w14:paraId="6F7F2CD7"/>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3A9A7">
    <w:pPr>
      <w:pStyle w:val="30"/>
      <w:ind w:right="360"/>
      <w:rPr>
        <w:rFonts w:hint="eastAsia"/>
      </w:rPr>
    </w:pPr>
    <w:r>
      <w:rPr>
        <w:lang w:val="en-US"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245" cy="131445"/>
              <wp:effectExtent l="0" t="0" r="0" b="0"/>
              <wp:wrapNone/>
              <wp:docPr id="1656171523" name="文本框 6"/>
              <wp:cNvGraphicFramePr/>
              <a:graphic xmlns:a="http://schemas.openxmlformats.org/drawingml/2006/main">
                <a:graphicData uri="http://schemas.microsoft.com/office/word/2010/wordprocessingShape">
                  <wps:wsp>
                    <wps:cNvSpPr txBox="1">
                      <a:spLocks noChangeArrowheads="1"/>
                    </wps:cNvSpPr>
                    <wps:spPr bwMode="auto">
                      <a:xfrm>
                        <a:off x="0" y="0"/>
                        <a:ext cx="182245" cy="131445"/>
                      </a:xfrm>
                      <a:prstGeom prst="rect">
                        <a:avLst/>
                      </a:prstGeom>
                      <a:noFill/>
                      <a:ln>
                        <a:noFill/>
                      </a:ln>
                      <a:effectLst/>
                    </wps:spPr>
                    <wps:txbx>
                      <w:txbxContent>
                        <w:p w14:paraId="6E14CBF2">
                          <w:pPr>
                            <w:snapToGrid w:val="0"/>
                            <w:rPr>
                              <w:sz w:val="18"/>
                              <w:lang w:eastAsia="zh-CN"/>
                            </w:rPr>
                          </w:pPr>
                          <w:r>
                            <w:rPr>
                              <w:sz w:val="18"/>
                              <w:lang w:eastAsia="zh-CN"/>
                            </w:rPr>
                            <w:fldChar w:fldCharType="begin"/>
                          </w:r>
                          <w:r>
                            <w:rPr>
                              <w:sz w:val="18"/>
                              <w:lang w:eastAsia="zh-CN"/>
                            </w:rPr>
                            <w:instrText xml:space="preserve"> PAGE  \* MERGEFORMAT </w:instrText>
                          </w:r>
                          <w:r>
                            <w:rPr>
                              <w:sz w:val="18"/>
                              <w:lang w:eastAsia="zh-CN"/>
                            </w:rPr>
                            <w:fldChar w:fldCharType="separate"/>
                          </w:r>
                          <w:r>
                            <w:rPr>
                              <w:rFonts w:hint="default"/>
                              <w:sz w:val="18"/>
                              <w:lang w:val="en-US" w:eastAsia="zh-CN"/>
                            </w:rPr>
                            <w:t>214</w:t>
                          </w:r>
                          <w:r>
                            <w:rPr>
                              <w:sz w:val="18"/>
                              <w:lang w:eastAsia="zh-CN"/>
                            </w:rPr>
                            <w:fldChar w:fldCharType="end"/>
                          </w:r>
                        </w:p>
                      </w:txbxContent>
                    </wps:txbx>
                    <wps:bodyPr rot="0" vert="horz" wrap="none" lIns="0" tIns="0" rIns="0" bIns="0" anchor="t" anchorCtr="0" upright="1">
                      <a:spAutoFit/>
                    </wps:bodyPr>
                  </wps:wsp>
                </a:graphicData>
              </a:graphic>
            </wp:anchor>
          </w:drawing>
        </mc:Choice>
        <mc:Fallback>
          <w:pict>
            <v:shape id="文本框 6" o:spid="_x0000_s1026" o:spt="202" type="#_x0000_t202" style="position:absolute;left:0pt;margin-top:0pt;height:10.35pt;width:14.35pt;mso-position-horizontal:center;mso-position-horizontal-relative:margin;mso-wrap-style:none;z-index:251662336;mso-width-relative:page;mso-height-relative:page;" filled="f" stroked="f" coordsize="21600,21600" o:gfxdata="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jTL1DPAAAAAwEAAA8AAAAAAAAAAQAgAAAA&#10;IgAAAGRycy9kb3ducmV2LnhtbFBLAQIUABQAAAAIAIdO4kCrURGKFAIAABkEAAAOAAAAAAAAAAEA&#10;IAAAAB4BAABkcnMvZTJvRG9jLnhtbFBLBQYAAAAABgAGAFkBAACkBQAAAAA=&#10;">
              <v:fill on="f" focussize="0,0"/>
              <v:stroke on="f"/>
              <v:imagedata o:title=""/>
              <o:lock v:ext="edit" aspectratio="f"/>
              <v:textbox inset="0mm,0mm,0mm,0mm" style="mso-fit-shape-to-text:t;">
                <w:txbxContent>
                  <w:p w14:paraId="6E14CBF2">
                    <w:pPr>
                      <w:snapToGrid w:val="0"/>
                      <w:rPr>
                        <w:sz w:val="18"/>
                        <w:lang w:eastAsia="zh-CN"/>
                      </w:rPr>
                    </w:pPr>
                    <w:r>
                      <w:rPr>
                        <w:sz w:val="18"/>
                        <w:lang w:eastAsia="zh-CN"/>
                      </w:rPr>
                      <w:fldChar w:fldCharType="begin"/>
                    </w:r>
                    <w:r>
                      <w:rPr>
                        <w:sz w:val="18"/>
                        <w:lang w:eastAsia="zh-CN"/>
                      </w:rPr>
                      <w:instrText xml:space="preserve"> PAGE  \* MERGEFORMAT </w:instrText>
                    </w:r>
                    <w:r>
                      <w:rPr>
                        <w:sz w:val="18"/>
                        <w:lang w:eastAsia="zh-CN"/>
                      </w:rPr>
                      <w:fldChar w:fldCharType="separate"/>
                    </w:r>
                    <w:r>
                      <w:rPr>
                        <w:rFonts w:hint="default"/>
                        <w:sz w:val="18"/>
                        <w:lang w:val="en-US" w:eastAsia="zh-CN"/>
                      </w:rPr>
                      <w:t>214</w:t>
                    </w:r>
                    <w:r>
                      <w:rPr>
                        <w:sz w:val="18"/>
                        <w:lang w:eastAsia="zh-CN"/>
                      </w:rPr>
                      <w:fldChar w:fldCharType="end"/>
                    </w:r>
                  </w:p>
                </w:txbxContent>
              </v:textbox>
            </v:shape>
          </w:pict>
        </mc:Fallback>
      </mc:AlternateContent>
    </w:r>
    <w:r>
      <w:rPr>
        <w:lang w:val="en-US"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53035"/>
              <wp:effectExtent l="0" t="0" r="0" b="0"/>
              <wp:wrapNone/>
              <wp:docPr id="1589661894"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2AAC71C0"/>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2.05pt;width:9.05pt;mso-position-horizontal:center;mso-position-horizontal-relative:margin;mso-wrap-style:none;z-index:251661312;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ORiNkgVAgAAGQQAAA4AAAAAAAAA&#10;AQAgAAAAHwEAAGRycy9lMm9Eb2MueG1sUEsFBgAAAAAGAAYAWQEAAKYFAAAAAA==&#10;">
              <v:fill on="f" focussize="0,0"/>
              <v:stroke on="f"/>
              <v:imagedata o:title=""/>
              <o:lock v:ext="edit" aspectratio="f"/>
              <v:textbox inset="0mm,0mm,0mm,0mm" style="mso-fit-shape-to-text:t;">
                <w:txbxContent>
                  <w:p w14:paraId="2AAC71C0"/>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BA524">
    <w:pPr>
      <w:pStyle w:val="31"/>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6019A">
    <w:pPr>
      <w:pStyle w:val="24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1C35E">
    <w:pPr>
      <w:snapToGrid w:val="0"/>
      <w:jc w:val="center"/>
      <w:rPr>
        <w:rFonts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CC217">
    <w:pPr>
      <w:pStyle w:val="31"/>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2FC43F7"/>
    <w:multiLevelType w:val="singleLevel"/>
    <w:tmpl w:val="F2FC43F7"/>
    <w:lvl w:ilvl="0" w:tentative="0">
      <w:start w:val="2"/>
      <w:numFmt w:val="decimal"/>
      <w:suff w:val="nothing"/>
      <w:lvlText w:val="（%1）"/>
      <w:lvlJc w:val="left"/>
      <w:pPr>
        <w:ind w:left="562" w:firstLine="0"/>
      </w:pPr>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158DF8B7"/>
    <w:multiLevelType w:val="singleLevel"/>
    <w:tmpl w:val="158DF8B7"/>
    <w:lvl w:ilvl="0" w:tentative="0">
      <w:start w:val="6"/>
      <w:numFmt w:val="chineseCounting"/>
      <w:suff w:val="space"/>
      <w:lvlText w:val="第%1章"/>
      <w:lvlJc w:val="left"/>
      <w:rPr>
        <w:rFonts w:hint="eastAsia"/>
      </w:rPr>
    </w:lvl>
  </w:abstractNum>
  <w:abstractNum w:abstractNumId="8">
    <w:nsid w:val="247741CE"/>
    <w:multiLevelType w:val="singleLevel"/>
    <w:tmpl w:val="247741CE"/>
    <w:lvl w:ilvl="0" w:tentative="0">
      <w:start w:val="1"/>
      <w:numFmt w:val="decimal"/>
      <w:suff w:val="nothing"/>
      <w:lvlText w:val="%1、"/>
      <w:lvlJc w:val="left"/>
    </w:lvl>
  </w:abstractNum>
  <w:abstractNum w:abstractNumId="9">
    <w:nsid w:val="62656752"/>
    <w:multiLevelType w:val="multilevel"/>
    <w:tmpl w:val="62656752"/>
    <w:lvl w:ilvl="0" w:tentative="0">
      <w:start w:val="11"/>
      <w:numFmt w:val="decimal"/>
      <w:suff w:val="nothing"/>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0">
    <w:nsid w:val="7A0F6431"/>
    <w:multiLevelType w:val="singleLevel"/>
    <w:tmpl w:val="7A0F6431"/>
    <w:lvl w:ilvl="0" w:tentative="0">
      <w:start w:val="1"/>
      <w:numFmt w:val="decimal"/>
      <w:suff w:val="space"/>
      <w:lvlText w:val="%1."/>
      <w:lvlJc w:val="left"/>
    </w:lvl>
  </w:abstractNum>
  <w:abstractNum w:abstractNumId="11">
    <w:nsid w:val="7F7BE2C3"/>
    <w:multiLevelType w:val="singleLevel"/>
    <w:tmpl w:val="7F7BE2C3"/>
    <w:lvl w:ilvl="0" w:tentative="0">
      <w:start w:val="1"/>
      <w:numFmt w:val="chineseCounting"/>
      <w:suff w:val="space"/>
      <w:lvlText w:val="第%1章"/>
      <w:lvlJc w:val="left"/>
      <w:rPr>
        <w:rFonts w:hint="eastAsia"/>
      </w:rPr>
    </w:lvl>
  </w:abstractNum>
  <w:num w:numId="1">
    <w:abstractNumId w:val="11"/>
  </w:num>
  <w:num w:numId="2">
    <w:abstractNumId w:val="9"/>
  </w:num>
  <w:num w:numId="3">
    <w:abstractNumId w:val="5"/>
  </w:num>
  <w:num w:numId="4">
    <w:abstractNumId w:val="7"/>
  </w:num>
  <w:num w:numId="5">
    <w:abstractNumId w:val="8"/>
  </w:num>
  <w:num w:numId="6">
    <w:abstractNumId w:val="10"/>
  </w:num>
  <w:num w:numId="7">
    <w:abstractNumId w:val="1"/>
  </w:num>
  <w:num w:numId="8">
    <w:abstractNumId w:val="6"/>
  </w:num>
  <w:num w:numId="9">
    <w:abstractNumId w:val="3"/>
  </w:num>
  <w:num w:numId="10">
    <w:abstractNumId w:val="2"/>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k3Nzg4MDIxNWQ1YWIzODI2YmU0OTc1ZWFjMGRjOGYifQ=="/>
  </w:docVars>
  <w:rsids>
    <w:rsidRoot w:val="00216A94"/>
    <w:rsid w:val="0000072A"/>
    <w:rsid w:val="00004CCA"/>
    <w:rsid w:val="00004D44"/>
    <w:rsid w:val="00005D94"/>
    <w:rsid w:val="0002033A"/>
    <w:rsid w:val="00023995"/>
    <w:rsid w:val="00024720"/>
    <w:rsid w:val="0002752B"/>
    <w:rsid w:val="000278F5"/>
    <w:rsid w:val="00033BB5"/>
    <w:rsid w:val="000340B2"/>
    <w:rsid w:val="00050B20"/>
    <w:rsid w:val="00051697"/>
    <w:rsid w:val="00052D2B"/>
    <w:rsid w:val="00054E21"/>
    <w:rsid w:val="00056878"/>
    <w:rsid w:val="00060BC3"/>
    <w:rsid w:val="0006485F"/>
    <w:rsid w:val="00064A87"/>
    <w:rsid w:val="000702AC"/>
    <w:rsid w:val="000708D6"/>
    <w:rsid w:val="00073941"/>
    <w:rsid w:val="000768FB"/>
    <w:rsid w:val="000805F7"/>
    <w:rsid w:val="00086D49"/>
    <w:rsid w:val="000914CC"/>
    <w:rsid w:val="00091D65"/>
    <w:rsid w:val="000972D7"/>
    <w:rsid w:val="000A0377"/>
    <w:rsid w:val="000A25C2"/>
    <w:rsid w:val="000A3106"/>
    <w:rsid w:val="000A456E"/>
    <w:rsid w:val="000B340A"/>
    <w:rsid w:val="000B69C5"/>
    <w:rsid w:val="000B7ED5"/>
    <w:rsid w:val="000C05CA"/>
    <w:rsid w:val="000C09EF"/>
    <w:rsid w:val="000C0D50"/>
    <w:rsid w:val="000C46FC"/>
    <w:rsid w:val="000D5739"/>
    <w:rsid w:val="000E1629"/>
    <w:rsid w:val="000E3CD1"/>
    <w:rsid w:val="000F1D08"/>
    <w:rsid w:val="000F3CF8"/>
    <w:rsid w:val="000F48D2"/>
    <w:rsid w:val="00100DCE"/>
    <w:rsid w:val="00103728"/>
    <w:rsid w:val="00110E7D"/>
    <w:rsid w:val="00114DAF"/>
    <w:rsid w:val="0011787C"/>
    <w:rsid w:val="00117E76"/>
    <w:rsid w:val="00124C13"/>
    <w:rsid w:val="00126514"/>
    <w:rsid w:val="0012714C"/>
    <w:rsid w:val="00132CA3"/>
    <w:rsid w:val="00133AC5"/>
    <w:rsid w:val="001371D6"/>
    <w:rsid w:val="00137AAC"/>
    <w:rsid w:val="001435EA"/>
    <w:rsid w:val="00145C33"/>
    <w:rsid w:val="0014651B"/>
    <w:rsid w:val="00146A9F"/>
    <w:rsid w:val="001548D9"/>
    <w:rsid w:val="00154F64"/>
    <w:rsid w:val="001634D2"/>
    <w:rsid w:val="00165A43"/>
    <w:rsid w:val="00166ECD"/>
    <w:rsid w:val="00167E96"/>
    <w:rsid w:val="00175178"/>
    <w:rsid w:val="00175B3D"/>
    <w:rsid w:val="001811B2"/>
    <w:rsid w:val="00181D30"/>
    <w:rsid w:val="001828B5"/>
    <w:rsid w:val="00184067"/>
    <w:rsid w:val="001909BD"/>
    <w:rsid w:val="00196B51"/>
    <w:rsid w:val="00197C21"/>
    <w:rsid w:val="001A1A52"/>
    <w:rsid w:val="001A5C29"/>
    <w:rsid w:val="001B4539"/>
    <w:rsid w:val="001B6015"/>
    <w:rsid w:val="001B6887"/>
    <w:rsid w:val="001C7180"/>
    <w:rsid w:val="001D041C"/>
    <w:rsid w:val="001D1622"/>
    <w:rsid w:val="001D16CC"/>
    <w:rsid w:val="001D1848"/>
    <w:rsid w:val="001D1AEA"/>
    <w:rsid w:val="001D3EBB"/>
    <w:rsid w:val="001D5994"/>
    <w:rsid w:val="001D73F6"/>
    <w:rsid w:val="001E0808"/>
    <w:rsid w:val="001E2BFA"/>
    <w:rsid w:val="001F0719"/>
    <w:rsid w:val="001F0F24"/>
    <w:rsid w:val="001F18EE"/>
    <w:rsid w:val="001F1D9E"/>
    <w:rsid w:val="001F31FD"/>
    <w:rsid w:val="001F68EC"/>
    <w:rsid w:val="00202E75"/>
    <w:rsid w:val="00204439"/>
    <w:rsid w:val="00211A84"/>
    <w:rsid w:val="00216A94"/>
    <w:rsid w:val="00217F9F"/>
    <w:rsid w:val="00234100"/>
    <w:rsid w:val="00235683"/>
    <w:rsid w:val="002458D7"/>
    <w:rsid w:val="002554A6"/>
    <w:rsid w:val="00260875"/>
    <w:rsid w:val="00270F4D"/>
    <w:rsid w:val="0027127B"/>
    <w:rsid w:val="00272DA7"/>
    <w:rsid w:val="00273B04"/>
    <w:rsid w:val="002740BF"/>
    <w:rsid w:val="00275DD3"/>
    <w:rsid w:val="0028032C"/>
    <w:rsid w:val="00280746"/>
    <w:rsid w:val="002820B5"/>
    <w:rsid w:val="0028471F"/>
    <w:rsid w:val="00285574"/>
    <w:rsid w:val="00291F60"/>
    <w:rsid w:val="00292295"/>
    <w:rsid w:val="00296A6C"/>
    <w:rsid w:val="002A05BB"/>
    <w:rsid w:val="002A5A62"/>
    <w:rsid w:val="002A7803"/>
    <w:rsid w:val="002B216E"/>
    <w:rsid w:val="002B4637"/>
    <w:rsid w:val="002C4EAF"/>
    <w:rsid w:val="002C639F"/>
    <w:rsid w:val="002C7FF1"/>
    <w:rsid w:val="002D1B9B"/>
    <w:rsid w:val="002D30B9"/>
    <w:rsid w:val="002D3A0B"/>
    <w:rsid w:val="002D4555"/>
    <w:rsid w:val="00303F78"/>
    <w:rsid w:val="00304480"/>
    <w:rsid w:val="00306509"/>
    <w:rsid w:val="00312F8B"/>
    <w:rsid w:val="003146DD"/>
    <w:rsid w:val="00316368"/>
    <w:rsid w:val="00317F86"/>
    <w:rsid w:val="0032097B"/>
    <w:rsid w:val="00320F89"/>
    <w:rsid w:val="00335178"/>
    <w:rsid w:val="00336C84"/>
    <w:rsid w:val="00352430"/>
    <w:rsid w:val="00352F37"/>
    <w:rsid w:val="003530E7"/>
    <w:rsid w:val="00354EBD"/>
    <w:rsid w:val="003651C0"/>
    <w:rsid w:val="00365D57"/>
    <w:rsid w:val="00366570"/>
    <w:rsid w:val="003706C3"/>
    <w:rsid w:val="00371493"/>
    <w:rsid w:val="003715A2"/>
    <w:rsid w:val="00380482"/>
    <w:rsid w:val="00380DD6"/>
    <w:rsid w:val="0038205E"/>
    <w:rsid w:val="003829F9"/>
    <w:rsid w:val="003857D6"/>
    <w:rsid w:val="00390856"/>
    <w:rsid w:val="003920CD"/>
    <w:rsid w:val="0039452C"/>
    <w:rsid w:val="0039526F"/>
    <w:rsid w:val="00396AC4"/>
    <w:rsid w:val="003B14ED"/>
    <w:rsid w:val="003C257B"/>
    <w:rsid w:val="003D3C49"/>
    <w:rsid w:val="003D7515"/>
    <w:rsid w:val="003E26F2"/>
    <w:rsid w:val="003E5A26"/>
    <w:rsid w:val="003E754E"/>
    <w:rsid w:val="00404BF9"/>
    <w:rsid w:val="00404E7A"/>
    <w:rsid w:val="0041125D"/>
    <w:rsid w:val="00413EAF"/>
    <w:rsid w:val="004215D5"/>
    <w:rsid w:val="00424D6C"/>
    <w:rsid w:val="00425F03"/>
    <w:rsid w:val="00426FA9"/>
    <w:rsid w:val="0042798D"/>
    <w:rsid w:val="00431E95"/>
    <w:rsid w:val="00435C05"/>
    <w:rsid w:val="00436C19"/>
    <w:rsid w:val="0044202F"/>
    <w:rsid w:val="00452AC8"/>
    <w:rsid w:val="00462505"/>
    <w:rsid w:val="00463F76"/>
    <w:rsid w:val="004653F9"/>
    <w:rsid w:val="004667CC"/>
    <w:rsid w:val="004670FA"/>
    <w:rsid w:val="004679A0"/>
    <w:rsid w:val="0047028D"/>
    <w:rsid w:val="004715DA"/>
    <w:rsid w:val="00471851"/>
    <w:rsid w:val="00474714"/>
    <w:rsid w:val="0047526C"/>
    <w:rsid w:val="004837B6"/>
    <w:rsid w:val="00487181"/>
    <w:rsid w:val="00492B08"/>
    <w:rsid w:val="004952BD"/>
    <w:rsid w:val="00495AFE"/>
    <w:rsid w:val="004A00C6"/>
    <w:rsid w:val="004A3D8C"/>
    <w:rsid w:val="004A6EE8"/>
    <w:rsid w:val="004A700E"/>
    <w:rsid w:val="004A7F58"/>
    <w:rsid w:val="004B14ED"/>
    <w:rsid w:val="004B50F7"/>
    <w:rsid w:val="004B6A65"/>
    <w:rsid w:val="004B7AB7"/>
    <w:rsid w:val="004C1A1D"/>
    <w:rsid w:val="004C47F1"/>
    <w:rsid w:val="004C58BA"/>
    <w:rsid w:val="004C7EC8"/>
    <w:rsid w:val="004D1C39"/>
    <w:rsid w:val="004D27C7"/>
    <w:rsid w:val="004D47CC"/>
    <w:rsid w:val="004F1B33"/>
    <w:rsid w:val="004F21F6"/>
    <w:rsid w:val="004F291E"/>
    <w:rsid w:val="004F480E"/>
    <w:rsid w:val="004F64EF"/>
    <w:rsid w:val="00502AD8"/>
    <w:rsid w:val="0050673E"/>
    <w:rsid w:val="00506DA2"/>
    <w:rsid w:val="005074FE"/>
    <w:rsid w:val="00512A5A"/>
    <w:rsid w:val="005207C7"/>
    <w:rsid w:val="00523192"/>
    <w:rsid w:val="00525434"/>
    <w:rsid w:val="00526B78"/>
    <w:rsid w:val="00531490"/>
    <w:rsid w:val="005356E9"/>
    <w:rsid w:val="00535C53"/>
    <w:rsid w:val="00537D52"/>
    <w:rsid w:val="005435DE"/>
    <w:rsid w:val="00546A56"/>
    <w:rsid w:val="00550488"/>
    <w:rsid w:val="00551270"/>
    <w:rsid w:val="005536EA"/>
    <w:rsid w:val="0055756D"/>
    <w:rsid w:val="005616CA"/>
    <w:rsid w:val="005624B8"/>
    <w:rsid w:val="0056308B"/>
    <w:rsid w:val="00563DE8"/>
    <w:rsid w:val="00566754"/>
    <w:rsid w:val="00572B0E"/>
    <w:rsid w:val="00573163"/>
    <w:rsid w:val="00585AD6"/>
    <w:rsid w:val="00586E72"/>
    <w:rsid w:val="00591976"/>
    <w:rsid w:val="00591E08"/>
    <w:rsid w:val="00592788"/>
    <w:rsid w:val="005938C0"/>
    <w:rsid w:val="00593D29"/>
    <w:rsid w:val="00595F64"/>
    <w:rsid w:val="005A546F"/>
    <w:rsid w:val="005A55CD"/>
    <w:rsid w:val="005A5982"/>
    <w:rsid w:val="005A69B1"/>
    <w:rsid w:val="005B0A9E"/>
    <w:rsid w:val="005C3A39"/>
    <w:rsid w:val="005C5E25"/>
    <w:rsid w:val="005D043F"/>
    <w:rsid w:val="005D05F7"/>
    <w:rsid w:val="005D152F"/>
    <w:rsid w:val="005D21C7"/>
    <w:rsid w:val="005D6A2B"/>
    <w:rsid w:val="005D6CC6"/>
    <w:rsid w:val="005E36FC"/>
    <w:rsid w:val="005E429F"/>
    <w:rsid w:val="005E46E0"/>
    <w:rsid w:val="005E6F62"/>
    <w:rsid w:val="005E7C1C"/>
    <w:rsid w:val="005F7E31"/>
    <w:rsid w:val="006001CB"/>
    <w:rsid w:val="006057F7"/>
    <w:rsid w:val="00610151"/>
    <w:rsid w:val="0061500B"/>
    <w:rsid w:val="00615A2B"/>
    <w:rsid w:val="006168AB"/>
    <w:rsid w:val="00617818"/>
    <w:rsid w:val="006229E5"/>
    <w:rsid w:val="00622A81"/>
    <w:rsid w:val="00626A31"/>
    <w:rsid w:val="00627EA6"/>
    <w:rsid w:val="00632324"/>
    <w:rsid w:val="0063335D"/>
    <w:rsid w:val="006344AB"/>
    <w:rsid w:val="00640D49"/>
    <w:rsid w:val="006444B6"/>
    <w:rsid w:val="00645B60"/>
    <w:rsid w:val="00650430"/>
    <w:rsid w:val="00652890"/>
    <w:rsid w:val="006549CC"/>
    <w:rsid w:val="00661E3A"/>
    <w:rsid w:val="0067097F"/>
    <w:rsid w:val="00682FCF"/>
    <w:rsid w:val="00683499"/>
    <w:rsid w:val="006971E1"/>
    <w:rsid w:val="006A0D7E"/>
    <w:rsid w:val="006A235E"/>
    <w:rsid w:val="006A66CE"/>
    <w:rsid w:val="006A68C6"/>
    <w:rsid w:val="006B6063"/>
    <w:rsid w:val="006C1395"/>
    <w:rsid w:val="006C2008"/>
    <w:rsid w:val="006D7F4F"/>
    <w:rsid w:val="006E0125"/>
    <w:rsid w:val="006E4044"/>
    <w:rsid w:val="006E5DA7"/>
    <w:rsid w:val="006F19B5"/>
    <w:rsid w:val="006F563B"/>
    <w:rsid w:val="00700F40"/>
    <w:rsid w:val="00702BF6"/>
    <w:rsid w:val="00703BF0"/>
    <w:rsid w:val="00704218"/>
    <w:rsid w:val="007077FF"/>
    <w:rsid w:val="007078C3"/>
    <w:rsid w:val="00710379"/>
    <w:rsid w:val="00711E84"/>
    <w:rsid w:val="00713DD5"/>
    <w:rsid w:val="00717C57"/>
    <w:rsid w:val="0072397F"/>
    <w:rsid w:val="00726C37"/>
    <w:rsid w:val="00742424"/>
    <w:rsid w:val="007424CD"/>
    <w:rsid w:val="00743A4B"/>
    <w:rsid w:val="0074460C"/>
    <w:rsid w:val="007453CA"/>
    <w:rsid w:val="007467AE"/>
    <w:rsid w:val="00750EE6"/>
    <w:rsid w:val="007578B3"/>
    <w:rsid w:val="00762A9D"/>
    <w:rsid w:val="007651D1"/>
    <w:rsid w:val="00765679"/>
    <w:rsid w:val="00774EF7"/>
    <w:rsid w:val="00776F8E"/>
    <w:rsid w:val="0078132B"/>
    <w:rsid w:val="007863FD"/>
    <w:rsid w:val="0079219E"/>
    <w:rsid w:val="007942C6"/>
    <w:rsid w:val="0079506F"/>
    <w:rsid w:val="007A6ABD"/>
    <w:rsid w:val="007A6EFF"/>
    <w:rsid w:val="007B22B0"/>
    <w:rsid w:val="007C2E20"/>
    <w:rsid w:val="007C5D46"/>
    <w:rsid w:val="007C6BFD"/>
    <w:rsid w:val="007D0E55"/>
    <w:rsid w:val="007D53AF"/>
    <w:rsid w:val="007D7952"/>
    <w:rsid w:val="007E1F82"/>
    <w:rsid w:val="007E2E71"/>
    <w:rsid w:val="007F5B05"/>
    <w:rsid w:val="0080663C"/>
    <w:rsid w:val="008066C6"/>
    <w:rsid w:val="00806B48"/>
    <w:rsid w:val="00806DF9"/>
    <w:rsid w:val="008119D7"/>
    <w:rsid w:val="008160BF"/>
    <w:rsid w:val="008174BA"/>
    <w:rsid w:val="008255D7"/>
    <w:rsid w:val="00835D23"/>
    <w:rsid w:val="008428D3"/>
    <w:rsid w:val="00850EF0"/>
    <w:rsid w:val="00854338"/>
    <w:rsid w:val="008618F8"/>
    <w:rsid w:val="00862CC4"/>
    <w:rsid w:val="00863CC4"/>
    <w:rsid w:val="00871484"/>
    <w:rsid w:val="00871A0D"/>
    <w:rsid w:val="00876FC4"/>
    <w:rsid w:val="00877B2E"/>
    <w:rsid w:val="00881D50"/>
    <w:rsid w:val="0088572D"/>
    <w:rsid w:val="008864A7"/>
    <w:rsid w:val="008864B2"/>
    <w:rsid w:val="00887C4A"/>
    <w:rsid w:val="00895441"/>
    <w:rsid w:val="0089557C"/>
    <w:rsid w:val="008B5A35"/>
    <w:rsid w:val="008B7803"/>
    <w:rsid w:val="008C55A8"/>
    <w:rsid w:val="008D3F3D"/>
    <w:rsid w:val="008D4C7D"/>
    <w:rsid w:val="008D79F9"/>
    <w:rsid w:val="008E1CA6"/>
    <w:rsid w:val="008E6003"/>
    <w:rsid w:val="008E68B7"/>
    <w:rsid w:val="008F0B8F"/>
    <w:rsid w:val="008F1326"/>
    <w:rsid w:val="008F78B8"/>
    <w:rsid w:val="00912744"/>
    <w:rsid w:val="009154A2"/>
    <w:rsid w:val="00916B67"/>
    <w:rsid w:val="00921183"/>
    <w:rsid w:val="00923023"/>
    <w:rsid w:val="0092328D"/>
    <w:rsid w:val="00923D5B"/>
    <w:rsid w:val="00923E52"/>
    <w:rsid w:val="0092424E"/>
    <w:rsid w:val="00930628"/>
    <w:rsid w:val="009313A1"/>
    <w:rsid w:val="00934347"/>
    <w:rsid w:val="009350E8"/>
    <w:rsid w:val="00937F9C"/>
    <w:rsid w:val="00950583"/>
    <w:rsid w:val="00954E5B"/>
    <w:rsid w:val="0096212D"/>
    <w:rsid w:val="0096314C"/>
    <w:rsid w:val="0096412D"/>
    <w:rsid w:val="00970DD9"/>
    <w:rsid w:val="00971821"/>
    <w:rsid w:val="0097294A"/>
    <w:rsid w:val="00973331"/>
    <w:rsid w:val="009776C8"/>
    <w:rsid w:val="00980901"/>
    <w:rsid w:val="00981DD4"/>
    <w:rsid w:val="009839BF"/>
    <w:rsid w:val="00985BA8"/>
    <w:rsid w:val="00991236"/>
    <w:rsid w:val="00992B44"/>
    <w:rsid w:val="00993064"/>
    <w:rsid w:val="00997536"/>
    <w:rsid w:val="00997B5E"/>
    <w:rsid w:val="009A11AC"/>
    <w:rsid w:val="009A3E7C"/>
    <w:rsid w:val="009B0452"/>
    <w:rsid w:val="009B2582"/>
    <w:rsid w:val="009B3E75"/>
    <w:rsid w:val="009B48DF"/>
    <w:rsid w:val="009B677A"/>
    <w:rsid w:val="009B7929"/>
    <w:rsid w:val="009C00A7"/>
    <w:rsid w:val="009C0491"/>
    <w:rsid w:val="009C2D98"/>
    <w:rsid w:val="009C3D2A"/>
    <w:rsid w:val="009C4DFA"/>
    <w:rsid w:val="009C56A3"/>
    <w:rsid w:val="009C6106"/>
    <w:rsid w:val="009C670D"/>
    <w:rsid w:val="009D6AEB"/>
    <w:rsid w:val="009E0464"/>
    <w:rsid w:val="009E1419"/>
    <w:rsid w:val="009F0E1A"/>
    <w:rsid w:val="009F11B5"/>
    <w:rsid w:val="009F2216"/>
    <w:rsid w:val="009F2CA0"/>
    <w:rsid w:val="009F5748"/>
    <w:rsid w:val="009F67EB"/>
    <w:rsid w:val="00A037BA"/>
    <w:rsid w:val="00A07819"/>
    <w:rsid w:val="00A10755"/>
    <w:rsid w:val="00A21DA8"/>
    <w:rsid w:val="00A235B8"/>
    <w:rsid w:val="00A336E6"/>
    <w:rsid w:val="00A404D9"/>
    <w:rsid w:val="00A43C9F"/>
    <w:rsid w:val="00A44DA0"/>
    <w:rsid w:val="00A451E3"/>
    <w:rsid w:val="00A45467"/>
    <w:rsid w:val="00A51697"/>
    <w:rsid w:val="00A53B70"/>
    <w:rsid w:val="00A5793C"/>
    <w:rsid w:val="00A57E90"/>
    <w:rsid w:val="00A6042C"/>
    <w:rsid w:val="00A607EF"/>
    <w:rsid w:val="00A65436"/>
    <w:rsid w:val="00A700B5"/>
    <w:rsid w:val="00A712F1"/>
    <w:rsid w:val="00A71834"/>
    <w:rsid w:val="00A72455"/>
    <w:rsid w:val="00A74A76"/>
    <w:rsid w:val="00A804DF"/>
    <w:rsid w:val="00A818FB"/>
    <w:rsid w:val="00A905B6"/>
    <w:rsid w:val="00A9249A"/>
    <w:rsid w:val="00A934A3"/>
    <w:rsid w:val="00A95871"/>
    <w:rsid w:val="00A958E7"/>
    <w:rsid w:val="00AA3BFC"/>
    <w:rsid w:val="00AB553E"/>
    <w:rsid w:val="00AB7DF2"/>
    <w:rsid w:val="00AC03E3"/>
    <w:rsid w:val="00AC2742"/>
    <w:rsid w:val="00AD32F5"/>
    <w:rsid w:val="00AD3322"/>
    <w:rsid w:val="00AE12D1"/>
    <w:rsid w:val="00AE2D12"/>
    <w:rsid w:val="00AE386D"/>
    <w:rsid w:val="00AE4366"/>
    <w:rsid w:val="00AE54B3"/>
    <w:rsid w:val="00AF50BA"/>
    <w:rsid w:val="00B03BE3"/>
    <w:rsid w:val="00B0755B"/>
    <w:rsid w:val="00B1459D"/>
    <w:rsid w:val="00B17E7A"/>
    <w:rsid w:val="00B23D8E"/>
    <w:rsid w:val="00B240BB"/>
    <w:rsid w:val="00B245EA"/>
    <w:rsid w:val="00B265F2"/>
    <w:rsid w:val="00B41DEB"/>
    <w:rsid w:val="00B43D30"/>
    <w:rsid w:val="00B57782"/>
    <w:rsid w:val="00B66684"/>
    <w:rsid w:val="00B760BB"/>
    <w:rsid w:val="00B76AB5"/>
    <w:rsid w:val="00B85220"/>
    <w:rsid w:val="00B92450"/>
    <w:rsid w:val="00B92462"/>
    <w:rsid w:val="00B93059"/>
    <w:rsid w:val="00BA3F9C"/>
    <w:rsid w:val="00BB0B0C"/>
    <w:rsid w:val="00BB204B"/>
    <w:rsid w:val="00BB3F57"/>
    <w:rsid w:val="00BB537D"/>
    <w:rsid w:val="00BC0052"/>
    <w:rsid w:val="00BC1581"/>
    <w:rsid w:val="00BC1C09"/>
    <w:rsid w:val="00BC579D"/>
    <w:rsid w:val="00BC7E7A"/>
    <w:rsid w:val="00BD2C13"/>
    <w:rsid w:val="00BE2211"/>
    <w:rsid w:val="00BE3D96"/>
    <w:rsid w:val="00BE54B1"/>
    <w:rsid w:val="00BF5CD1"/>
    <w:rsid w:val="00BF6EE9"/>
    <w:rsid w:val="00C03EA8"/>
    <w:rsid w:val="00C044E9"/>
    <w:rsid w:val="00C11C61"/>
    <w:rsid w:val="00C12660"/>
    <w:rsid w:val="00C145BB"/>
    <w:rsid w:val="00C21083"/>
    <w:rsid w:val="00C2296A"/>
    <w:rsid w:val="00C23EA9"/>
    <w:rsid w:val="00C24BF9"/>
    <w:rsid w:val="00C2687E"/>
    <w:rsid w:val="00C3640D"/>
    <w:rsid w:val="00C41980"/>
    <w:rsid w:val="00C42AE7"/>
    <w:rsid w:val="00C43229"/>
    <w:rsid w:val="00C438A9"/>
    <w:rsid w:val="00C448AA"/>
    <w:rsid w:val="00C518CE"/>
    <w:rsid w:val="00C539BD"/>
    <w:rsid w:val="00C5672D"/>
    <w:rsid w:val="00C6205A"/>
    <w:rsid w:val="00C62A91"/>
    <w:rsid w:val="00C66C3C"/>
    <w:rsid w:val="00C72E01"/>
    <w:rsid w:val="00C82311"/>
    <w:rsid w:val="00C83E23"/>
    <w:rsid w:val="00C84AEB"/>
    <w:rsid w:val="00C86B65"/>
    <w:rsid w:val="00C92B0C"/>
    <w:rsid w:val="00C9428A"/>
    <w:rsid w:val="00C95432"/>
    <w:rsid w:val="00CA48B6"/>
    <w:rsid w:val="00CC08D9"/>
    <w:rsid w:val="00CC2EB1"/>
    <w:rsid w:val="00CC34FF"/>
    <w:rsid w:val="00CC6697"/>
    <w:rsid w:val="00CC6FC2"/>
    <w:rsid w:val="00CD22F9"/>
    <w:rsid w:val="00CE0A7B"/>
    <w:rsid w:val="00CF16E4"/>
    <w:rsid w:val="00CF1F99"/>
    <w:rsid w:val="00CF2378"/>
    <w:rsid w:val="00D007C0"/>
    <w:rsid w:val="00D03770"/>
    <w:rsid w:val="00D0782D"/>
    <w:rsid w:val="00D1405F"/>
    <w:rsid w:val="00D205D3"/>
    <w:rsid w:val="00D206A7"/>
    <w:rsid w:val="00D213BA"/>
    <w:rsid w:val="00D26BCB"/>
    <w:rsid w:val="00D26D02"/>
    <w:rsid w:val="00D27F04"/>
    <w:rsid w:val="00D3023B"/>
    <w:rsid w:val="00D370D6"/>
    <w:rsid w:val="00D46F1C"/>
    <w:rsid w:val="00D52243"/>
    <w:rsid w:val="00D5380E"/>
    <w:rsid w:val="00D627A0"/>
    <w:rsid w:val="00D64BEB"/>
    <w:rsid w:val="00D65064"/>
    <w:rsid w:val="00D67B6C"/>
    <w:rsid w:val="00D73282"/>
    <w:rsid w:val="00D74F9D"/>
    <w:rsid w:val="00D755EF"/>
    <w:rsid w:val="00D76927"/>
    <w:rsid w:val="00D77244"/>
    <w:rsid w:val="00D7737C"/>
    <w:rsid w:val="00D80BC9"/>
    <w:rsid w:val="00D83B14"/>
    <w:rsid w:val="00D83B1D"/>
    <w:rsid w:val="00D868C0"/>
    <w:rsid w:val="00D871CF"/>
    <w:rsid w:val="00D87ACF"/>
    <w:rsid w:val="00D87EAF"/>
    <w:rsid w:val="00D9271A"/>
    <w:rsid w:val="00D97630"/>
    <w:rsid w:val="00DA1491"/>
    <w:rsid w:val="00DB0AE3"/>
    <w:rsid w:val="00DB0C31"/>
    <w:rsid w:val="00DB1D4F"/>
    <w:rsid w:val="00DB1EA6"/>
    <w:rsid w:val="00DB2E8E"/>
    <w:rsid w:val="00DB63FB"/>
    <w:rsid w:val="00DC3330"/>
    <w:rsid w:val="00DC56D4"/>
    <w:rsid w:val="00DC58DA"/>
    <w:rsid w:val="00DC650C"/>
    <w:rsid w:val="00DC66AD"/>
    <w:rsid w:val="00DC76E5"/>
    <w:rsid w:val="00DD2EE1"/>
    <w:rsid w:val="00DD398A"/>
    <w:rsid w:val="00DE3F83"/>
    <w:rsid w:val="00DE4B25"/>
    <w:rsid w:val="00DE56BC"/>
    <w:rsid w:val="00DE71AC"/>
    <w:rsid w:val="00DF029D"/>
    <w:rsid w:val="00DF0451"/>
    <w:rsid w:val="00DF08A9"/>
    <w:rsid w:val="00DF1720"/>
    <w:rsid w:val="00DF3554"/>
    <w:rsid w:val="00DF5DA6"/>
    <w:rsid w:val="00DF6558"/>
    <w:rsid w:val="00DF72A5"/>
    <w:rsid w:val="00DF74C8"/>
    <w:rsid w:val="00E0413F"/>
    <w:rsid w:val="00E06A1B"/>
    <w:rsid w:val="00E06D34"/>
    <w:rsid w:val="00E11993"/>
    <w:rsid w:val="00E15E3E"/>
    <w:rsid w:val="00E21249"/>
    <w:rsid w:val="00E346CB"/>
    <w:rsid w:val="00E5422D"/>
    <w:rsid w:val="00E61395"/>
    <w:rsid w:val="00E67CC6"/>
    <w:rsid w:val="00E702E3"/>
    <w:rsid w:val="00E77E2A"/>
    <w:rsid w:val="00E816CB"/>
    <w:rsid w:val="00E845D6"/>
    <w:rsid w:val="00E84FFE"/>
    <w:rsid w:val="00E87C0A"/>
    <w:rsid w:val="00E90937"/>
    <w:rsid w:val="00E9125B"/>
    <w:rsid w:val="00E9169D"/>
    <w:rsid w:val="00E91DC0"/>
    <w:rsid w:val="00EA3E73"/>
    <w:rsid w:val="00EA44AE"/>
    <w:rsid w:val="00EA4DF7"/>
    <w:rsid w:val="00EB1E0D"/>
    <w:rsid w:val="00EB39DB"/>
    <w:rsid w:val="00EB5F95"/>
    <w:rsid w:val="00EB6A19"/>
    <w:rsid w:val="00EB7982"/>
    <w:rsid w:val="00EC5D74"/>
    <w:rsid w:val="00EC794D"/>
    <w:rsid w:val="00ED0869"/>
    <w:rsid w:val="00ED3C0D"/>
    <w:rsid w:val="00ED48AA"/>
    <w:rsid w:val="00ED7F43"/>
    <w:rsid w:val="00EE03E4"/>
    <w:rsid w:val="00EE0B2D"/>
    <w:rsid w:val="00EE27AD"/>
    <w:rsid w:val="00EE575A"/>
    <w:rsid w:val="00EF152A"/>
    <w:rsid w:val="00EF4A36"/>
    <w:rsid w:val="00F02E4F"/>
    <w:rsid w:val="00F075B5"/>
    <w:rsid w:val="00F07791"/>
    <w:rsid w:val="00F125A4"/>
    <w:rsid w:val="00F12E9E"/>
    <w:rsid w:val="00F14ABF"/>
    <w:rsid w:val="00F16263"/>
    <w:rsid w:val="00F20A1E"/>
    <w:rsid w:val="00F22907"/>
    <w:rsid w:val="00F26DF0"/>
    <w:rsid w:val="00F3532F"/>
    <w:rsid w:val="00F35C26"/>
    <w:rsid w:val="00F5036E"/>
    <w:rsid w:val="00F50505"/>
    <w:rsid w:val="00F5199D"/>
    <w:rsid w:val="00F529C6"/>
    <w:rsid w:val="00F56B7B"/>
    <w:rsid w:val="00F57977"/>
    <w:rsid w:val="00F57AAB"/>
    <w:rsid w:val="00F60BF6"/>
    <w:rsid w:val="00F60C68"/>
    <w:rsid w:val="00F64AC7"/>
    <w:rsid w:val="00F64C20"/>
    <w:rsid w:val="00F71E0C"/>
    <w:rsid w:val="00F748B5"/>
    <w:rsid w:val="00F84827"/>
    <w:rsid w:val="00F91117"/>
    <w:rsid w:val="00F96C65"/>
    <w:rsid w:val="00F97163"/>
    <w:rsid w:val="00FA308C"/>
    <w:rsid w:val="00FA3169"/>
    <w:rsid w:val="00FA4BAA"/>
    <w:rsid w:val="00FA60BD"/>
    <w:rsid w:val="00FA6D8A"/>
    <w:rsid w:val="00FA718F"/>
    <w:rsid w:val="00FB10C3"/>
    <w:rsid w:val="00FB119A"/>
    <w:rsid w:val="00FB2E9D"/>
    <w:rsid w:val="00FB3679"/>
    <w:rsid w:val="00FC0CA8"/>
    <w:rsid w:val="00FC4DBD"/>
    <w:rsid w:val="00FD0750"/>
    <w:rsid w:val="00FD1CF9"/>
    <w:rsid w:val="00FD3AC3"/>
    <w:rsid w:val="00FD64BF"/>
    <w:rsid w:val="00FE7F01"/>
    <w:rsid w:val="00FF0932"/>
    <w:rsid w:val="00FF2700"/>
    <w:rsid w:val="00FF376C"/>
    <w:rsid w:val="00FF568F"/>
    <w:rsid w:val="00FF7978"/>
    <w:rsid w:val="0147778C"/>
    <w:rsid w:val="0158673B"/>
    <w:rsid w:val="016A6FD7"/>
    <w:rsid w:val="01A87C2A"/>
    <w:rsid w:val="01AC6828"/>
    <w:rsid w:val="01BF2561"/>
    <w:rsid w:val="01D95A4D"/>
    <w:rsid w:val="01E12A3D"/>
    <w:rsid w:val="02106709"/>
    <w:rsid w:val="02176416"/>
    <w:rsid w:val="02242CC3"/>
    <w:rsid w:val="02572632"/>
    <w:rsid w:val="026F1557"/>
    <w:rsid w:val="02783976"/>
    <w:rsid w:val="027C1C16"/>
    <w:rsid w:val="02914CDF"/>
    <w:rsid w:val="02D2561C"/>
    <w:rsid w:val="02D63442"/>
    <w:rsid w:val="02F32C72"/>
    <w:rsid w:val="02F76749"/>
    <w:rsid w:val="033A1034"/>
    <w:rsid w:val="036F3BD2"/>
    <w:rsid w:val="0395058D"/>
    <w:rsid w:val="0399374E"/>
    <w:rsid w:val="039E11BA"/>
    <w:rsid w:val="03C5653F"/>
    <w:rsid w:val="03F31CB7"/>
    <w:rsid w:val="03FD6286"/>
    <w:rsid w:val="04554655"/>
    <w:rsid w:val="045C2016"/>
    <w:rsid w:val="046D26B5"/>
    <w:rsid w:val="047B0D01"/>
    <w:rsid w:val="04951B45"/>
    <w:rsid w:val="04A17026"/>
    <w:rsid w:val="04A951DB"/>
    <w:rsid w:val="04C57A82"/>
    <w:rsid w:val="050447EE"/>
    <w:rsid w:val="0517381B"/>
    <w:rsid w:val="05350E34"/>
    <w:rsid w:val="054412C6"/>
    <w:rsid w:val="056D178C"/>
    <w:rsid w:val="05962D81"/>
    <w:rsid w:val="05BD848F"/>
    <w:rsid w:val="05EF3192"/>
    <w:rsid w:val="05FB3F65"/>
    <w:rsid w:val="060C4DD3"/>
    <w:rsid w:val="06233BF8"/>
    <w:rsid w:val="06E4782C"/>
    <w:rsid w:val="06E7C2D2"/>
    <w:rsid w:val="06F757B1"/>
    <w:rsid w:val="0712113E"/>
    <w:rsid w:val="07140111"/>
    <w:rsid w:val="071F68B2"/>
    <w:rsid w:val="07224C2D"/>
    <w:rsid w:val="07287718"/>
    <w:rsid w:val="073267E9"/>
    <w:rsid w:val="075971C8"/>
    <w:rsid w:val="076FAA59"/>
    <w:rsid w:val="07830DF3"/>
    <w:rsid w:val="07CF228A"/>
    <w:rsid w:val="08002FFD"/>
    <w:rsid w:val="080041F1"/>
    <w:rsid w:val="080A1514"/>
    <w:rsid w:val="08114650"/>
    <w:rsid w:val="08275DCF"/>
    <w:rsid w:val="085556F0"/>
    <w:rsid w:val="085F761F"/>
    <w:rsid w:val="087859BE"/>
    <w:rsid w:val="08A64151"/>
    <w:rsid w:val="08EA416A"/>
    <w:rsid w:val="08F85810"/>
    <w:rsid w:val="09020BF6"/>
    <w:rsid w:val="09025B20"/>
    <w:rsid w:val="09153CCC"/>
    <w:rsid w:val="0916246C"/>
    <w:rsid w:val="093920B1"/>
    <w:rsid w:val="093E2CBE"/>
    <w:rsid w:val="09410F65"/>
    <w:rsid w:val="097536D0"/>
    <w:rsid w:val="0983157E"/>
    <w:rsid w:val="09AA7B54"/>
    <w:rsid w:val="09BE4364"/>
    <w:rsid w:val="09FF700C"/>
    <w:rsid w:val="0A042CE3"/>
    <w:rsid w:val="0A146C63"/>
    <w:rsid w:val="0A232419"/>
    <w:rsid w:val="0A2E0C9A"/>
    <w:rsid w:val="0A40121D"/>
    <w:rsid w:val="0A885251"/>
    <w:rsid w:val="0A8C7FBE"/>
    <w:rsid w:val="0A9D46DA"/>
    <w:rsid w:val="0A9D7BDE"/>
    <w:rsid w:val="0AD00EBD"/>
    <w:rsid w:val="0AD11B2D"/>
    <w:rsid w:val="0AEA2771"/>
    <w:rsid w:val="0B05139F"/>
    <w:rsid w:val="0B1665B7"/>
    <w:rsid w:val="0B2C7611"/>
    <w:rsid w:val="0B33335D"/>
    <w:rsid w:val="0B557C00"/>
    <w:rsid w:val="0B572105"/>
    <w:rsid w:val="0B5D7BAD"/>
    <w:rsid w:val="0B611AFC"/>
    <w:rsid w:val="0B75554F"/>
    <w:rsid w:val="0B786794"/>
    <w:rsid w:val="0B9E444D"/>
    <w:rsid w:val="0BA27BE5"/>
    <w:rsid w:val="0BBA4E1C"/>
    <w:rsid w:val="0BBFB1C5"/>
    <w:rsid w:val="0BD46791"/>
    <w:rsid w:val="0BE65DF4"/>
    <w:rsid w:val="0BE84BFA"/>
    <w:rsid w:val="0BE91675"/>
    <w:rsid w:val="0BF24799"/>
    <w:rsid w:val="0C006046"/>
    <w:rsid w:val="0C1C7A68"/>
    <w:rsid w:val="0C394D46"/>
    <w:rsid w:val="0C452F2C"/>
    <w:rsid w:val="0C48541E"/>
    <w:rsid w:val="0C6271A8"/>
    <w:rsid w:val="0C6B01AA"/>
    <w:rsid w:val="0C6E02C3"/>
    <w:rsid w:val="0C8F7CD9"/>
    <w:rsid w:val="0CC07B24"/>
    <w:rsid w:val="0CD36378"/>
    <w:rsid w:val="0CDA1626"/>
    <w:rsid w:val="0D0227BA"/>
    <w:rsid w:val="0D080318"/>
    <w:rsid w:val="0D0C53E6"/>
    <w:rsid w:val="0D152A80"/>
    <w:rsid w:val="0D2766C4"/>
    <w:rsid w:val="0D2D48F5"/>
    <w:rsid w:val="0D413684"/>
    <w:rsid w:val="0D4E1EA3"/>
    <w:rsid w:val="0D562B05"/>
    <w:rsid w:val="0D672772"/>
    <w:rsid w:val="0DAF04E0"/>
    <w:rsid w:val="0DB12B4A"/>
    <w:rsid w:val="0DBA7538"/>
    <w:rsid w:val="0DD32646"/>
    <w:rsid w:val="0DDA2925"/>
    <w:rsid w:val="0DE20434"/>
    <w:rsid w:val="0E2D1AB8"/>
    <w:rsid w:val="0E3A23EA"/>
    <w:rsid w:val="0EB45D35"/>
    <w:rsid w:val="0ED9579C"/>
    <w:rsid w:val="0EDC7FE2"/>
    <w:rsid w:val="0EE01055"/>
    <w:rsid w:val="0EEFAE84"/>
    <w:rsid w:val="0F340C24"/>
    <w:rsid w:val="0F522A6F"/>
    <w:rsid w:val="0F661726"/>
    <w:rsid w:val="0F6F0918"/>
    <w:rsid w:val="0F6F1AC9"/>
    <w:rsid w:val="0F7571BB"/>
    <w:rsid w:val="0F76748F"/>
    <w:rsid w:val="0F953DB9"/>
    <w:rsid w:val="0F9C00D2"/>
    <w:rsid w:val="0FA01D85"/>
    <w:rsid w:val="0FBF31A8"/>
    <w:rsid w:val="0FC404B7"/>
    <w:rsid w:val="0FEF2EEA"/>
    <w:rsid w:val="0FF2EF98"/>
    <w:rsid w:val="0FFD240A"/>
    <w:rsid w:val="100E0101"/>
    <w:rsid w:val="101A2510"/>
    <w:rsid w:val="102B64CB"/>
    <w:rsid w:val="1033383A"/>
    <w:rsid w:val="104203F4"/>
    <w:rsid w:val="106F460A"/>
    <w:rsid w:val="10A60810"/>
    <w:rsid w:val="10BB4FBD"/>
    <w:rsid w:val="10F92232"/>
    <w:rsid w:val="111D7BC2"/>
    <w:rsid w:val="112500A8"/>
    <w:rsid w:val="11252648"/>
    <w:rsid w:val="115449A1"/>
    <w:rsid w:val="11752D4A"/>
    <w:rsid w:val="118539B9"/>
    <w:rsid w:val="11B45ED9"/>
    <w:rsid w:val="11B553AE"/>
    <w:rsid w:val="11C56E95"/>
    <w:rsid w:val="11CB3AC2"/>
    <w:rsid w:val="11DF36A1"/>
    <w:rsid w:val="11E35AA0"/>
    <w:rsid w:val="11E9219A"/>
    <w:rsid w:val="11EC3A38"/>
    <w:rsid w:val="11F53AC8"/>
    <w:rsid w:val="122554C6"/>
    <w:rsid w:val="12414BFA"/>
    <w:rsid w:val="124D2729"/>
    <w:rsid w:val="12754F46"/>
    <w:rsid w:val="12923C60"/>
    <w:rsid w:val="12AF1FE4"/>
    <w:rsid w:val="12B570A3"/>
    <w:rsid w:val="12E55FEE"/>
    <w:rsid w:val="12F11306"/>
    <w:rsid w:val="130C6140"/>
    <w:rsid w:val="131674A1"/>
    <w:rsid w:val="13392358"/>
    <w:rsid w:val="133C1EA8"/>
    <w:rsid w:val="13695A71"/>
    <w:rsid w:val="139236BB"/>
    <w:rsid w:val="13987E59"/>
    <w:rsid w:val="13B42074"/>
    <w:rsid w:val="13D950E1"/>
    <w:rsid w:val="13E15699"/>
    <w:rsid w:val="13F67F03"/>
    <w:rsid w:val="13FDE4E9"/>
    <w:rsid w:val="143827C4"/>
    <w:rsid w:val="1460095F"/>
    <w:rsid w:val="14785E3A"/>
    <w:rsid w:val="147F6B50"/>
    <w:rsid w:val="14E919E1"/>
    <w:rsid w:val="14FD6C55"/>
    <w:rsid w:val="151439D2"/>
    <w:rsid w:val="151643A9"/>
    <w:rsid w:val="152C3F68"/>
    <w:rsid w:val="154D0C92"/>
    <w:rsid w:val="154D47EE"/>
    <w:rsid w:val="15663C9A"/>
    <w:rsid w:val="157601E9"/>
    <w:rsid w:val="15843123"/>
    <w:rsid w:val="15A14135"/>
    <w:rsid w:val="15B80CB3"/>
    <w:rsid w:val="15CE200E"/>
    <w:rsid w:val="15D359D5"/>
    <w:rsid w:val="15EF6FA9"/>
    <w:rsid w:val="15FFD219"/>
    <w:rsid w:val="161A0B74"/>
    <w:rsid w:val="162B7EA0"/>
    <w:rsid w:val="16545079"/>
    <w:rsid w:val="16695657"/>
    <w:rsid w:val="16797465"/>
    <w:rsid w:val="167B4BEA"/>
    <w:rsid w:val="16AB2114"/>
    <w:rsid w:val="16C810CC"/>
    <w:rsid w:val="16CD3CC8"/>
    <w:rsid w:val="16ED0036"/>
    <w:rsid w:val="170A1D70"/>
    <w:rsid w:val="17145A70"/>
    <w:rsid w:val="1715758D"/>
    <w:rsid w:val="17181720"/>
    <w:rsid w:val="17405625"/>
    <w:rsid w:val="174560AE"/>
    <w:rsid w:val="1748080B"/>
    <w:rsid w:val="1794305D"/>
    <w:rsid w:val="17AA1223"/>
    <w:rsid w:val="17DE7281"/>
    <w:rsid w:val="17F84425"/>
    <w:rsid w:val="17FFF359"/>
    <w:rsid w:val="181D7567"/>
    <w:rsid w:val="181F2849"/>
    <w:rsid w:val="184F4216"/>
    <w:rsid w:val="18692356"/>
    <w:rsid w:val="186D3C82"/>
    <w:rsid w:val="18BC4164"/>
    <w:rsid w:val="18C027AB"/>
    <w:rsid w:val="191759CF"/>
    <w:rsid w:val="19185113"/>
    <w:rsid w:val="19353F17"/>
    <w:rsid w:val="193B4FD0"/>
    <w:rsid w:val="196675A6"/>
    <w:rsid w:val="198804EA"/>
    <w:rsid w:val="1990530E"/>
    <w:rsid w:val="1997072D"/>
    <w:rsid w:val="199C5D44"/>
    <w:rsid w:val="19A96FF9"/>
    <w:rsid w:val="19AF290E"/>
    <w:rsid w:val="19B4188F"/>
    <w:rsid w:val="19F413DD"/>
    <w:rsid w:val="1A002777"/>
    <w:rsid w:val="1A4E5290"/>
    <w:rsid w:val="1A604864"/>
    <w:rsid w:val="1A7758A1"/>
    <w:rsid w:val="1AA03612"/>
    <w:rsid w:val="1AA30145"/>
    <w:rsid w:val="1AB9713F"/>
    <w:rsid w:val="1ADD03C2"/>
    <w:rsid w:val="1AFB6815"/>
    <w:rsid w:val="1AFF658A"/>
    <w:rsid w:val="1B247C49"/>
    <w:rsid w:val="1B304B82"/>
    <w:rsid w:val="1B3F0D70"/>
    <w:rsid w:val="1B625647"/>
    <w:rsid w:val="1B6A1F0E"/>
    <w:rsid w:val="1B74042F"/>
    <w:rsid w:val="1B772E08"/>
    <w:rsid w:val="1BAB2470"/>
    <w:rsid w:val="1BBFBCCA"/>
    <w:rsid w:val="1BE4113E"/>
    <w:rsid w:val="1BE839E6"/>
    <w:rsid w:val="1BF9B495"/>
    <w:rsid w:val="1BFCA88A"/>
    <w:rsid w:val="1C381D54"/>
    <w:rsid w:val="1C493A28"/>
    <w:rsid w:val="1C614B7E"/>
    <w:rsid w:val="1C7134B8"/>
    <w:rsid w:val="1C7B5168"/>
    <w:rsid w:val="1C844F99"/>
    <w:rsid w:val="1C8B27CB"/>
    <w:rsid w:val="1C8B5289"/>
    <w:rsid w:val="1C915908"/>
    <w:rsid w:val="1CB12360"/>
    <w:rsid w:val="1CD162D3"/>
    <w:rsid w:val="1CF13355"/>
    <w:rsid w:val="1CF365C3"/>
    <w:rsid w:val="1CFF7FAA"/>
    <w:rsid w:val="1D1022C1"/>
    <w:rsid w:val="1D1638A0"/>
    <w:rsid w:val="1D540CB1"/>
    <w:rsid w:val="1D6420F3"/>
    <w:rsid w:val="1D770853"/>
    <w:rsid w:val="1D770F9B"/>
    <w:rsid w:val="1D7E7A66"/>
    <w:rsid w:val="1DBFC4B2"/>
    <w:rsid w:val="1DD106B2"/>
    <w:rsid w:val="1DDFF5FF"/>
    <w:rsid w:val="1DEF6D8A"/>
    <w:rsid w:val="1E7F289E"/>
    <w:rsid w:val="1E876FC3"/>
    <w:rsid w:val="1ED709CD"/>
    <w:rsid w:val="1EEF7EB7"/>
    <w:rsid w:val="1EEF9422"/>
    <w:rsid w:val="1F14362A"/>
    <w:rsid w:val="1F3A4035"/>
    <w:rsid w:val="1F460C2C"/>
    <w:rsid w:val="1F772D7F"/>
    <w:rsid w:val="1F7860D3"/>
    <w:rsid w:val="1F974FE3"/>
    <w:rsid w:val="1FBB9104"/>
    <w:rsid w:val="1FC41751"/>
    <w:rsid w:val="20162EA9"/>
    <w:rsid w:val="20193933"/>
    <w:rsid w:val="206D3F96"/>
    <w:rsid w:val="20785DE7"/>
    <w:rsid w:val="207F6EB1"/>
    <w:rsid w:val="209E23A2"/>
    <w:rsid w:val="20A004EA"/>
    <w:rsid w:val="20A0611A"/>
    <w:rsid w:val="20A205DE"/>
    <w:rsid w:val="20A3243F"/>
    <w:rsid w:val="20E017E3"/>
    <w:rsid w:val="20EF23DB"/>
    <w:rsid w:val="210D0F5A"/>
    <w:rsid w:val="211E20A8"/>
    <w:rsid w:val="212251A4"/>
    <w:rsid w:val="212406AC"/>
    <w:rsid w:val="213D605E"/>
    <w:rsid w:val="21563120"/>
    <w:rsid w:val="215637C3"/>
    <w:rsid w:val="218245B8"/>
    <w:rsid w:val="21925861"/>
    <w:rsid w:val="21C9556D"/>
    <w:rsid w:val="21FBEBEB"/>
    <w:rsid w:val="22242C4B"/>
    <w:rsid w:val="222E0711"/>
    <w:rsid w:val="229A4CF1"/>
    <w:rsid w:val="22A2261D"/>
    <w:rsid w:val="22CC6B01"/>
    <w:rsid w:val="22F318F4"/>
    <w:rsid w:val="22F8048F"/>
    <w:rsid w:val="22F86E90"/>
    <w:rsid w:val="23024481"/>
    <w:rsid w:val="232B1F13"/>
    <w:rsid w:val="232F7A8C"/>
    <w:rsid w:val="23563E5F"/>
    <w:rsid w:val="235C6C70"/>
    <w:rsid w:val="2388552B"/>
    <w:rsid w:val="23953F30"/>
    <w:rsid w:val="23B14ACF"/>
    <w:rsid w:val="23CE488D"/>
    <w:rsid w:val="23FB734E"/>
    <w:rsid w:val="24066BDB"/>
    <w:rsid w:val="24514CAA"/>
    <w:rsid w:val="246F4781"/>
    <w:rsid w:val="247177AA"/>
    <w:rsid w:val="24B623B0"/>
    <w:rsid w:val="24DA51C4"/>
    <w:rsid w:val="24F4795A"/>
    <w:rsid w:val="250B4B52"/>
    <w:rsid w:val="251E1D0B"/>
    <w:rsid w:val="252142EA"/>
    <w:rsid w:val="253778CE"/>
    <w:rsid w:val="25382735"/>
    <w:rsid w:val="258764BC"/>
    <w:rsid w:val="25AFFA62"/>
    <w:rsid w:val="25EB3977"/>
    <w:rsid w:val="25F42697"/>
    <w:rsid w:val="25F807A6"/>
    <w:rsid w:val="2613738E"/>
    <w:rsid w:val="26171E73"/>
    <w:rsid w:val="264659B5"/>
    <w:rsid w:val="267323EA"/>
    <w:rsid w:val="267E5A4E"/>
    <w:rsid w:val="26932C8A"/>
    <w:rsid w:val="26A61FB0"/>
    <w:rsid w:val="26F975FC"/>
    <w:rsid w:val="26FF4390"/>
    <w:rsid w:val="27194E78"/>
    <w:rsid w:val="271E8A61"/>
    <w:rsid w:val="2732271F"/>
    <w:rsid w:val="27405227"/>
    <w:rsid w:val="2742617D"/>
    <w:rsid w:val="27431896"/>
    <w:rsid w:val="27457128"/>
    <w:rsid w:val="275B1765"/>
    <w:rsid w:val="277ACBDA"/>
    <w:rsid w:val="278B7B24"/>
    <w:rsid w:val="279C7F89"/>
    <w:rsid w:val="27D2250A"/>
    <w:rsid w:val="27DE7FB7"/>
    <w:rsid w:val="27E82557"/>
    <w:rsid w:val="27EF7B1C"/>
    <w:rsid w:val="27F5CDC8"/>
    <w:rsid w:val="27F65B6B"/>
    <w:rsid w:val="27FD1A38"/>
    <w:rsid w:val="280608AE"/>
    <w:rsid w:val="281E1197"/>
    <w:rsid w:val="281F64BE"/>
    <w:rsid w:val="284E72DC"/>
    <w:rsid w:val="286F5124"/>
    <w:rsid w:val="28A26E6A"/>
    <w:rsid w:val="28D75265"/>
    <w:rsid w:val="28E02CD4"/>
    <w:rsid w:val="29416C3E"/>
    <w:rsid w:val="296B671C"/>
    <w:rsid w:val="296B9323"/>
    <w:rsid w:val="29AC1FD3"/>
    <w:rsid w:val="29BC555E"/>
    <w:rsid w:val="29C56BF1"/>
    <w:rsid w:val="29EA0836"/>
    <w:rsid w:val="29ED173B"/>
    <w:rsid w:val="29F13D32"/>
    <w:rsid w:val="29FF8AEC"/>
    <w:rsid w:val="29FFC787"/>
    <w:rsid w:val="2A267326"/>
    <w:rsid w:val="2A50295E"/>
    <w:rsid w:val="2A847FA5"/>
    <w:rsid w:val="2A88342D"/>
    <w:rsid w:val="2ABE008D"/>
    <w:rsid w:val="2ABE1FBE"/>
    <w:rsid w:val="2ACB6649"/>
    <w:rsid w:val="2B22345B"/>
    <w:rsid w:val="2B257975"/>
    <w:rsid w:val="2B3166FF"/>
    <w:rsid w:val="2B5054D5"/>
    <w:rsid w:val="2B7FFCC5"/>
    <w:rsid w:val="2BC00E57"/>
    <w:rsid w:val="2BC6B9D4"/>
    <w:rsid w:val="2BCF10FA"/>
    <w:rsid w:val="2BE710A1"/>
    <w:rsid w:val="2BEFB4B2"/>
    <w:rsid w:val="2BFB307B"/>
    <w:rsid w:val="2C100EEC"/>
    <w:rsid w:val="2C1520B2"/>
    <w:rsid w:val="2C167B0F"/>
    <w:rsid w:val="2C1C51EE"/>
    <w:rsid w:val="2C206143"/>
    <w:rsid w:val="2C3B13EC"/>
    <w:rsid w:val="2C6C0FEB"/>
    <w:rsid w:val="2C734E31"/>
    <w:rsid w:val="2CA62D0A"/>
    <w:rsid w:val="2CBA9371"/>
    <w:rsid w:val="2CBB1DEC"/>
    <w:rsid w:val="2CBF3DCB"/>
    <w:rsid w:val="2CCE6FA7"/>
    <w:rsid w:val="2CD72A9E"/>
    <w:rsid w:val="2CE3118E"/>
    <w:rsid w:val="2D103148"/>
    <w:rsid w:val="2D12039F"/>
    <w:rsid w:val="2D1E0AF2"/>
    <w:rsid w:val="2D3A4568"/>
    <w:rsid w:val="2D470359"/>
    <w:rsid w:val="2D727090"/>
    <w:rsid w:val="2D75DF64"/>
    <w:rsid w:val="2D945258"/>
    <w:rsid w:val="2DA03AA4"/>
    <w:rsid w:val="2DBB6A03"/>
    <w:rsid w:val="2DCA53AC"/>
    <w:rsid w:val="2DDF1017"/>
    <w:rsid w:val="2DF52218"/>
    <w:rsid w:val="2E5067EC"/>
    <w:rsid w:val="2E5E6A04"/>
    <w:rsid w:val="2E7F70C0"/>
    <w:rsid w:val="2E923A8E"/>
    <w:rsid w:val="2E9D030D"/>
    <w:rsid w:val="2EB55684"/>
    <w:rsid w:val="2EC91E34"/>
    <w:rsid w:val="2EE330A1"/>
    <w:rsid w:val="2F2453B8"/>
    <w:rsid w:val="2F25085E"/>
    <w:rsid w:val="2F2571B4"/>
    <w:rsid w:val="2F28553F"/>
    <w:rsid w:val="2F454A5C"/>
    <w:rsid w:val="2F71F765"/>
    <w:rsid w:val="2FA9127F"/>
    <w:rsid w:val="2FCF34F1"/>
    <w:rsid w:val="2FD99BD1"/>
    <w:rsid w:val="2FF3270A"/>
    <w:rsid w:val="2FFC4085"/>
    <w:rsid w:val="301405BF"/>
    <w:rsid w:val="30170A31"/>
    <w:rsid w:val="307931FA"/>
    <w:rsid w:val="30D37306"/>
    <w:rsid w:val="30DA096A"/>
    <w:rsid w:val="30E03069"/>
    <w:rsid w:val="3103468C"/>
    <w:rsid w:val="310426F5"/>
    <w:rsid w:val="31215667"/>
    <w:rsid w:val="31382DE1"/>
    <w:rsid w:val="314550AB"/>
    <w:rsid w:val="31550404"/>
    <w:rsid w:val="317C228B"/>
    <w:rsid w:val="31BE28A4"/>
    <w:rsid w:val="31C0329F"/>
    <w:rsid w:val="31C75BFC"/>
    <w:rsid w:val="31CE6041"/>
    <w:rsid w:val="31D877D5"/>
    <w:rsid w:val="31D95ED6"/>
    <w:rsid w:val="31DC3655"/>
    <w:rsid w:val="31DE2F46"/>
    <w:rsid w:val="31E26DD0"/>
    <w:rsid w:val="31EF15C5"/>
    <w:rsid w:val="31F34EE6"/>
    <w:rsid w:val="32053B90"/>
    <w:rsid w:val="320C5601"/>
    <w:rsid w:val="323A7496"/>
    <w:rsid w:val="323F60E0"/>
    <w:rsid w:val="32570855"/>
    <w:rsid w:val="32585395"/>
    <w:rsid w:val="326276D3"/>
    <w:rsid w:val="329F4483"/>
    <w:rsid w:val="32A76766"/>
    <w:rsid w:val="32DA54BB"/>
    <w:rsid w:val="32F444B2"/>
    <w:rsid w:val="32FB4A31"/>
    <w:rsid w:val="32FD6DD5"/>
    <w:rsid w:val="33222173"/>
    <w:rsid w:val="33415945"/>
    <w:rsid w:val="33444EE9"/>
    <w:rsid w:val="33474D1F"/>
    <w:rsid w:val="334F5387"/>
    <w:rsid w:val="33707EAA"/>
    <w:rsid w:val="33734415"/>
    <w:rsid w:val="33835B53"/>
    <w:rsid w:val="338D3F51"/>
    <w:rsid w:val="339D56C8"/>
    <w:rsid w:val="33A77B54"/>
    <w:rsid w:val="33AF6C2B"/>
    <w:rsid w:val="33C83B71"/>
    <w:rsid w:val="33D94FDC"/>
    <w:rsid w:val="33EC2509"/>
    <w:rsid w:val="342A0755"/>
    <w:rsid w:val="3448551B"/>
    <w:rsid w:val="346A4F0B"/>
    <w:rsid w:val="347656B7"/>
    <w:rsid w:val="34770CA3"/>
    <w:rsid w:val="34776016"/>
    <w:rsid w:val="34A715A5"/>
    <w:rsid w:val="34A72487"/>
    <w:rsid w:val="34AE5ED7"/>
    <w:rsid w:val="34B166F0"/>
    <w:rsid w:val="34C44173"/>
    <w:rsid w:val="34DF18A1"/>
    <w:rsid w:val="34FD254A"/>
    <w:rsid w:val="35085AF7"/>
    <w:rsid w:val="351153E0"/>
    <w:rsid w:val="35480EE1"/>
    <w:rsid w:val="358160C2"/>
    <w:rsid w:val="35832375"/>
    <w:rsid w:val="358838F4"/>
    <w:rsid w:val="358A316B"/>
    <w:rsid w:val="358B0CEF"/>
    <w:rsid w:val="35A40002"/>
    <w:rsid w:val="35C475A7"/>
    <w:rsid w:val="35DE31B8"/>
    <w:rsid w:val="35E80F7F"/>
    <w:rsid w:val="35EA50EA"/>
    <w:rsid w:val="35F75CF0"/>
    <w:rsid w:val="3609071C"/>
    <w:rsid w:val="36102900"/>
    <w:rsid w:val="36135E77"/>
    <w:rsid w:val="362D1DA6"/>
    <w:rsid w:val="363F7B19"/>
    <w:rsid w:val="364041CF"/>
    <w:rsid w:val="367E0853"/>
    <w:rsid w:val="36847069"/>
    <w:rsid w:val="36A73329"/>
    <w:rsid w:val="36BD137C"/>
    <w:rsid w:val="36BF44BC"/>
    <w:rsid w:val="36C448CD"/>
    <w:rsid w:val="36CC5BFE"/>
    <w:rsid w:val="36DF8D7D"/>
    <w:rsid w:val="36E1693A"/>
    <w:rsid w:val="36F16AE9"/>
    <w:rsid w:val="36FF0EF8"/>
    <w:rsid w:val="370A5ABE"/>
    <w:rsid w:val="377B46F5"/>
    <w:rsid w:val="3784633D"/>
    <w:rsid w:val="379E5D0E"/>
    <w:rsid w:val="37A458F7"/>
    <w:rsid w:val="37AF596A"/>
    <w:rsid w:val="37BD6953"/>
    <w:rsid w:val="37C329C2"/>
    <w:rsid w:val="37D456E4"/>
    <w:rsid w:val="37E727ED"/>
    <w:rsid w:val="3834230B"/>
    <w:rsid w:val="383438BF"/>
    <w:rsid w:val="3897749E"/>
    <w:rsid w:val="38C00C2F"/>
    <w:rsid w:val="38C96F4B"/>
    <w:rsid w:val="38D108D3"/>
    <w:rsid w:val="38EE3B83"/>
    <w:rsid w:val="38FE77AF"/>
    <w:rsid w:val="39052611"/>
    <w:rsid w:val="392FD6FD"/>
    <w:rsid w:val="39443BCE"/>
    <w:rsid w:val="394C0219"/>
    <w:rsid w:val="39806291"/>
    <w:rsid w:val="39822D27"/>
    <w:rsid w:val="399C171C"/>
    <w:rsid w:val="39E97C0A"/>
    <w:rsid w:val="3A2F07E2"/>
    <w:rsid w:val="3A3BFAC0"/>
    <w:rsid w:val="3A4A561C"/>
    <w:rsid w:val="3A543444"/>
    <w:rsid w:val="3A5468F0"/>
    <w:rsid w:val="3A6526CE"/>
    <w:rsid w:val="3A6F93E2"/>
    <w:rsid w:val="3A7C6384"/>
    <w:rsid w:val="3A922B1F"/>
    <w:rsid w:val="3AB605BC"/>
    <w:rsid w:val="3ABD5DEE"/>
    <w:rsid w:val="3ABDBD39"/>
    <w:rsid w:val="3ABE4197"/>
    <w:rsid w:val="3AC86541"/>
    <w:rsid w:val="3AE07D2F"/>
    <w:rsid w:val="3AE61666"/>
    <w:rsid w:val="3AE670D0"/>
    <w:rsid w:val="3AF31330"/>
    <w:rsid w:val="3AFA75A2"/>
    <w:rsid w:val="3B0E6D2D"/>
    <w:rsid w:val="3B1759B2"/>
    <w:rsid w:val="3B3F0DA2"/>
    <w:rsid w:val="3B6E05E6"/>
    <w:rsid w:val="3BA05455"/>
    <w:rsid w:val="3BA50630"/>
    <w:rsid w:val="3BB03EA1"/>
    <w:rsid w:val="3BC751DB"/>
    <w:rsid w:val="3BED042C"/>
    <w:rsid w:val="3BF32D1F"/>
    <w:rsid w:val="3BF4434D"/>
    <w:rsid w:val="3BF9FF42"/>
    <w:rsid w:val="3BFF9F95"/>
    <w:rsid w:val="3C2251CF"/>
    <w:rsid w:val="3C53062C"/>
    <w:rsid w:val="3C533473"/>
    <w:rsid w:val="3C597D99"/>
    <w:rsid w:val="3C746980"/>
    <w:rsid w:val="3C7F7112"/>
    <w:rsid w:val="3C8360C6"/>
    <w:rsid w:val="3CA2276F"/>
    <w:rsid w:val="3CD31F26"/>
    <w:rsid w:val="3CE25107"/>
    <w:rsid w:val="3CF41C54"/>
    <w:rsid w:val="3CF7E3B0"/>
    <w:rsid w:val="3CFEEF0F"/>
    <w:rsid w:val="3D171F98"/>
    <w:rsid w:val="3D1C4E6E"/>
    <w:rsid w:val="3D1E069A"/>
    <w:rsid w:val="3D281519"/>
    <w:rsid w:val="3D294FCA"/>
    <w:rsid w:val="3D2E718E"/>
    <w:rsid w:val="3D3B03D8"/>
    <w:rsid w:val="3D4F3797"/>
    <w:rsid w:val="3D5A150F"/>
    <w:rsid w:val="3D5B544A"/>
    <w:rsid w:val="3D65451B"/>
    <w:rsid w:val="3D934BE4"/>
    <w:rsid w:val="3DBA06EF"/>
    <w:rsid w:val="3DBE0B4C"/>
    <w:rsid w:val="3DCE7D24"/>
    <w:rsid w:val="3DD441F1"/>
    <w:rsid w:val="3DD577AB"/>
    <w:rsid w:val="3DDF4EEE"/>
    <w:rsid w:val="3DE23AE2"/>
    <w:rsid w:val="3DF05BE8"/>
    <w:rsid w:val="3DF1C583"/>
    <w:rsid w:val="3E082D61"/>
    <w:rsid w:val="3E1137D0"/>
    <w:rsid w:val="3E4405D4"/>
    <w:rsid w:val="3E4A3B11"/>
    <w:rsid w:val="3E541B20"/>
    <w:rsid w:val="3E5C2E71"/>
    <w:rsid w:val="3E7B5CE5"/>
    <w:rsid w:val="3E834880"/>
    <w:rsid w:val="3EB612DC"/>
    <w:rsid w:val="3EBBE5D2"/>
    <w:rsid w:val="3EFCCBA9"/>
    <w:rsid w:val="3EFE614D"/>
    <w:rsid w:val="3EFEF4BD"/>
    <w:rsid w:val="3F43263A"/>
    <w:rsid w:val="3F4E607F"/>
    <w:rsid w:val="3F4F42A7"/>
    <w:rsid w:val="3F51605E"/>
    <w:rsid w:val="3F53097E"/>
    <w:rsid w:val="3F5A4F0B"/>
    <w:rsid w:val="3F62B0A3"/>
    <w:rsid w:val="3F634A8A"/>
    <w:rsid w:val="3F779E02"/>
    <w:rsid w:val="3F7F9605"/>
    <w:rsid w:val="3FAC01DF"/>
    <w:rsid w:val="3FCDC299"/>
    <w:rsid w:val="3FCEED26"/>
    <w:rsid w:val="3FDE717E"/>
    <w:rsid w:val="3FDF239A"/>
    <w:rsid w:val="3FDFFAB3"/>
    <w:rsid w:val="3FE78F4C"/>
    <w:rsid w:val="3FECD332"/>
    <w:rsid w:val="3FEEE840"/>
    <w:rsid w:val="3FFDCF2F"/>
    <w:rsid w:val="3FFE71BE"/>
    <w:rsid w:val="3FFF61E2"/>
    <w:rsid w:val="401D732F"/>
    <w:rsid w:val="406010FB"/>
    <w:rsid w:val="40A37834"/>
    <w:rsid w:val="40B61747"/>
    <w:rsid w:val="40D7128C"/>
    <w:rsid w:val="413F3586"/>
    <w:rsid w:val="417B479B"/>
    <w:rsid w:val="41E80D5B"/>
    <w:rsid w:val="41F446C2"/>
    <w:rsid w:val="42031BCD"/>
    <w:rsid w:val="420E0011"/>
    <w:rsid w:val="421E709E"/>
    <w:rsid w:val="42307489"/>
    <w:rsid w:val="425A0F71"/>
    <w:rsid w:val="426C1EA8"/>
    <w:rsid w:val="4283791D"/>
    <w:rsid w:val="42864D18"/>
    <w:rsid w:val="42B1052C"/>
    <w:rsid w:val="42B555FD"/>
    <w:rsid w:val="42F563BE"/>
    <w:rsid w:val="42FF4ACA"/>
    <w:rsid w:val="432D197A"/>
    <w:rsid w:val="43393BCF"/>
    <w:rsid w:val="433D5FC4"/>
    <w:rsid w:val="4376F5CB"/>
    <w:rsid w:val="4383047F"/>
    <w:rsid w:val="439C056B"/>
    <w:rsid w:val="43A708F0"/>
    <w:rsid w:val="43BA4AF1"/>
    <w:rsid w:val="43BE25BE"/>
    <w:rsid w:val="43CE4CBB"/>
    <w:rsid w:val="43E75C8A"/>
    <w:rsid w:val="441535E0"/>
    <w:rsid w:val="44217FF5"/>
    <w:rsid w:val="44BC4C14"/>
    <w:rsid w:val="44CB1108"/>
    <w:rsid w:val="44EC7D78"/>
    <w:rsid w:val="44FF1266"/>
    <w:rsid w:val="45285204"/>
    <w:rsid w:val="452D591E"/>
    <w:rsid w:val="45467056"/>
    <w:rsid w:val="454D5FC1"/>
    <w:rsid w:val="458B6AE9"/>
    <w:rsid w:val="459C013A"/>
    <w:rsid w:val="459C4852"/>
    <w:rsid w:val="45A17CC5"/>
    <w:rsid w:val="45BC6CA2"/>
    <w:rsid w:val="45C269AF"/>
    <w:rsid w:val="45E02BB8"/>
    <w:rsid w:val="45ED6926"/>
    <w:rsid w:val="45FC3543"/>
    <w:rsid w:val="46162C9B"/>
    <w:rsid w:val="46205FFA"/>
    <w:rsid w:val="462654CE"/>
    <w:rsid w:val="462F148B"/>
    <w:rsid w:val="46321496"/>
    <w:rsid w:val="4640711C"/>
    <w:rsid w:val="4644178C"/>
    <w:rsid w:val="464C7847"/>
    <w:rsid w:val="46660D2C"/>
    <w:rsid w:val="46780E1B"/>
    <w:rsid w:val="46807888"/>
    <w:rsid w:val="4683449F"/>
    <w:rsid w:val="46F26E20"/>
    <w:rsid w:val="46FB037F"/>
    <w:rsid w:val="47372A84"/>
    <w:rsid w:val="47773BD6"/>
    <w:rsid w:val="478A7058"/>
    <w:rsid w:val="478D4D9A"/>
    <w:rsid w:val="478E5712"/>
    <w:rsid w:val="47961EA1"/>
    <w:rsid w:val="47D73A93"/>
    <w:rsid w:val="47DE7EE8"/>
    <w:rsid w:val="47ED2D5B"/>
    <w:rsid w:val="481A184C"/>
    <w:rsid w:val="48205C0E"/>
    <w:rsid w:val="482E3254"/>
    <w:rsid w:val="486FB1D0"/>
    <w:rsid w:val="487F78EF"/>
    <w:rsid w:val="489A151D"/>
    <w:rsid w:val="48A06010"/>
    <w:rsid w:val="48A169EB"/>
    <w:rsid w:val="48DA400F"/>
    <w:rsid w:val="48FF54C6"/>
    <w:rsid w:val="491C794F"/>
    <w:rsid w:val="49395A4A"/>
    <w:rsid w:val="49695393"/>
    <w:rsid w:val="496B2EB9"/>
    <w:rsid w:val="499248EA"/>
    <w:rsid w:val="499A16F3"/>
    <w:rsid w:val="49A4503C"/>
    <w:rsid w:val="49A63EF1"/>
    <w:rsid w:val="49DD73A3"/>
    <w:rsid w:val="49F40337"/>
    <w:rsid w:val="49F41BE5"/>
    <w:rsid w:val="49F71731"/>
    <w:rsid w:val="49FC7FB5"/>
    <w:rsid w:val="49FE4C9F"/>
    <w:rsid w:val="4A082D0D"/>
    <w:rsid w:val="4A314103"/>
    <w:rsid w:val="4A4467F7"/>
    <w:rsid w:val="4A550168"/>
    <w:rsid w:val="4A6F2535"/>
    <w:rsid w:val="4A86653C"/>
    <w:rsid w:val="4A8E6E5F"/>
    <w:rsid w:val="4A8F0FD3"/>
    <w:rsid w:val="4A98521F"/>
    <w:rsid w:val="4A9F106C"/>
    <w:rsid w:val="4AA04DE4"/>
    <w:rsid w:val="4AA85A47"/>
    <w:rsid w:val="4AB5384C"/>
    <w:rsid w:val="4AB70571"/>
    <w:rsid w:val="4ADF3CAD"/>
    <w:rsid w:val="4B5300A9"/>
    <w:rsid w:val="4B8D612B"/>
    <w:rsid w:val="4BB4024E"/>
    <w:rsid w:val="4BB85BF2"/>
    <w:rsid w:val="4BBA3C84"/>
    <w:rsid w:val="4BBE300B"/>
    <w:rsid w:val="4BDE5935"/>
    <w:rsid w:val="4BFECABF"/>
    <w:rsid w:val="4C37699C"/>
    <w:rsid w:val="4C6D0CF6"/>
    <w:rsid w:val="4C724422"/>
    <w:rsid w:val="4C806C7C"/>
    <w:rsid w:val="4C910674"/>
    <w:rsid w:val="4CF213BF"/>
    <w:rsid w:val="4D054A99"/>
    <w:rsid w:val="4D0E1E95"/>
    <w:rsid w:val="4D1F25C3"/>
    <w:rsid w:val="4D764FBA"/>
    <w:rsid w:val="4D9A5B1B"/>
    <w:rsid w:val="4DAE26E6"/>
    <w:rsid w:val="4DBF0FF1"/>
    <w:rsid w:val="4DD76D6F"/>
    <w:rsid w:val="4DDD7A52"/>
    <w:rsid w:val="4DE76116"/>
    <w:rsid w:val="4DF327A1"/>
    <w:rsid w:val="4E031912"/>
    <w:rsid w:val="4E1458CD"/>
    <w:rsid w:val="4E347622"/>
    <w:rsid w:val="4E5151A3"/>
    <w:rsid w:val="4E71233D"/>
    <w:rsid w:val="4E826910"/>
    <w:rsid w:val="4E84149B"/>
    <w:rsid w:val="4E8D5DCC"/>
    <w:rsid w:val="4EAC109A"/>
    <w:rsid w:val="4EB329FB"/>
    <w:rsid w:val="4EB90223"/>
    <w:rsid w:val="4EC46BBF"/>
    <w:rsid w:val="4EEF78F4"/>
    <w:rsid w:val="4EFEE965"/>
    <w:rsid w:val="4F0B3174"/>
    <w:rsid w:val="4F2F6412"/>
    <w:rsid w:val="4F317EFD"/>
    <w:rsid w:val="4F36622A"/>
    <w:rsid w:val="4F534D39"/>
    <w:rsid w:val="4F714FA1"/>
    <w:rsid w:val="4F760C0C"/>
    <w:rsid w:val="4F844CD5"/>
    <w:rsid w:val="4F9174BF"/>
    <w:rsid w:val="4F994BD7"/>
    <w:rsid w:val="4F9A46E8"/>
    <w:rsid w:val="4F9D31CA"/>
    <w:rsid w:val="4F9FC119"/>
    <w:rsid w:val="4FDBE75C"/>
    <w:rsid w:val="4FDF0659"/>
    <w:rsid w:val="4FFBB516"/>
    <w:rsid w:val="502C78BD"/>
    <w:rsid w:val="50403624"/>
    <w:rsid w:val="50447FC0"/>
    <w:rsid w:val="508807F5"/>
    <w:rsid w:val="50B45146"/>
    <w:rsid w:val="50CF4A20"/>
    <w:rsid w:val="50EE4E08"/>
    <w:rsid w:val="514209A3"/>
    <w:rsid w:val="51452242"/>
    <w:rsid w:val="515626A1"/>
    <w:rsid w:val="51756F7B"/>
    <w:rsid w:val="518F2A51"/>
    <w:rsid w:val="51914954"/>
    <w:rsid w:val="51927A2D"/>
    <w:rsid w:val="51C92E73"/>
    <w:rsid w:val="51D50B34"/>
    <w:rsid w:val="51F928E3"/>
    <w:rsid w:val="520A4F65"/>
    <w:rsid w:val="52397095"/>
    <w:rsid w:val="52432C25"/>
    <w:rsid w:val="52492E45"/>
    <w:rsid w:val="52505342"/>
    <w:rsid w:val="526A6404"/>
    <w:rsid w:val="52707792"/>
    <w:rsid w:val="528F1740"/>
    <w:rsid w:val="52BE22AC"/>
    <w:rsid w:val="52E962D5"/>
    <w:rsid w:val="52F82D3C"/>
    <w:rsid w:val="52FE6B4C"/>
    <w:rsid w:val="533F1412"/>
    <w:rsid w:val="534704F3"/>
    <w:rsid w:val="535E583D"/>
    <w:rsid w:val="53827989"/>
    <w:rsid w:val="53A741DD"/>
    <w:rsid w:val="53C56A98"/>
    <w:rsid w:val="53C75B65"/>
    <w:rsid w:val="53EE4E13"/>
    <w:rsid w:val="54502464"/>
    <w:rsid w:val="54520287"/>
    <w:rsid w:val="54554E92"/>
    <w:rsid w:val="547C241E"/>
    <w:rsid w:val="548A1708"/>
    <w:rsid w:val="549A28A4"/>
    <w:rsid w:val="54A13C33"/>
    <w:rsid w:val="54BE1A66"/>
    <w:rsid w:val="54CF254E"/>
    <w:rsid w:val="55012924"/>
    <w:rsid w:val="5504431A"/>
    <w:rsid w:val="55106DDC"/>
    <w:rsid w:val="5526447D"/>
    <w:rsid w:val="5526704E"/>
    <w:rsid w:val="553E73B3"/>
    <w:rsid w:val="55510A45"/>
    <w:rsid w:val="555D2250"/>
    <w:rsid w:val="55690BF5"/>
    <w:rsid w:val="559825AA"/>
    <w:rsid w:val="559E0B25"/>
    <w:rsid w:val="55AE4B94"/>
    <w:rsid w:val="55AF7BDE"/>
    <w:rsid w:val="55B044A8"/>
    <w:rsid w:val="55B94244"/>
    <w:rsid w:val="55F05BDE"/>
    <w:rsid w:val="561623FF"/>
    <w:rsid w:val="56384123"/>
    <w:rsid w:val="56384C51"/>
    <w:rsid w:val="563C024F"/>
    <w:rsid w:val="564927D4"/>
    <w:rsid w:val="56521689"/>
    <w:rsid w:val="566118CC"/>
    <w:rsid w:val="56672BBC"/>
    <w:rsid w:val="56AF6B19"/>
    <w:rsid w:val="56EB3536"/>
    <w:rsid w:val="56F11D71"/>
    <w:rsid w:val="570FE456"/>
    <w:rsid w:val="57195870"/>
    <w:rsid w:val="572C7C98"/>
    <w:rsid w:val="57462870"/>
    <w:rsid w:val="574B0A68"/>
    <w:rsid w:val="575C722F"/>
    <w:rsid w:val="576D1445"/>
    <w:rsid w:val="57827D4C"/>
    <w:rsid w:val="57886B3A"/>
    <w:rsid w:val="578D049F"/>
    <w:rsid w:val="578FF71E"/>
    <w:rsid w:val="579D2DD8"/>
    <w:rsid w:val="57A33EBB"/>
    <w:rsid w:val="57AE2C92"/>
    <w:rsid w:val="57CB28F5"/>
    <w:rsid w:val="57CF603D"/>
    <w:rsid w:val="57E502DB"/>
    <w:rsid w:val="57F02454"/>
    <w:rsid w:val="57F74BE3"/>
    <w:rsid w:val="57FFF7A0"/>
    <w:rsid w:val="581110D0"/>
    <w:rsid w:val="581A61D6"/>
    <w:rsid w:val="581F559B"/>
    <w:rsid w:val="582238BC"/>
    <w:rsid w:val="583201DA"/>
    <w:rsid w:val="586C6306"/>
    <w:rsid w:val="58734F65"/>
    <w:rsid w:val="58937D37"/>
    <w:rsid w:val="58970C8E"/>
    <w:rsid w:val="58AB0F0E"/>
    <w:rsid w:val="58F06F37"/>
    <w:rsid w:val="59062983"/>
    <w:rsid w:val="593030BB"/>
    <w:rsid w:val="594C23E9"/>
    <w:rsid w:val="595C281E"/>
    <w:rsid w:val="597EB301"/>
    <w:rsid w:val="59934A3A"/>
    <w:rsid w:val="59971C18"/>
    <w:rsid w:val="599C2187"/>
    <w:rsid w:val="59B56DA9"/>
    <w:rsid w:val="59C04B5B"/>
    <w:rsid w:val="59EA7E2A"/>
    <w:rsid w:val="5A0A5ED7"/>
    <w:rsid w:val="5A407A4A"/>
    <w:rsid w:val="5A484AC1"/>
    <w:rsid w:val="5A5D3AF6"/>
    <w:rsid w:val="5A5F25C6"/>
    <w:rsid w:val="5A7116B9"/>
    <w:rsid w:val="5AA71877"/>
    <w:rsid w:val="5AA94C5A"/>
    <w:rsid w:val="5AC642F3"/>
    <w:rsid w:val="5AD703AE"/>
    <w:rsid w:val="5AED71E7"/>
    <w:rsid w:val="5AF153C1"/>
    <w:rsid w:val="5AF16BAF"/>
    <w:rsid w:val="5AF30F60"/>
    <w:rsid w:val="5AF7DC83"/>
    <w:rsid w:val="5AFD593B"/>
    <w:rsid w:val="5AFD676A"/>
    <w:rsid w:val="5B0B35C6"/>
    <w:rsid w:val="5B121B65"/>
    <w:rsid w:val="5B1C2220"/>
    <w:rsid w:val="5B679753"/>
    <w:rsid w:val="5B7F01A8"/>
    <w:rsid w:val="5B8F9460"/>
    <w:rsid w:val="5B995664"/>
    <w:rsid w:val="5B9C6ECB"/>
    <w:rsid w:val="5BBBA6C1"/>
    <w:rsid w:val="5BE79CB2"/>
    <w:rsid w:val="5BE7F760"/>
    <w:rsid w:val="5BF93666"/>
    <w:rsid w:val="5BFE95C0"/>
    <w:rsid w:val="5C0C7573"/>
    <w:rsid w:val="5C110814"/>
    <w:rsid w:val="5C277114"/>
    <w:rsid w:val="5C2C297C"/>
    <w:rsid w:val="5C3B671B"/>
    <w:rsid w:val="5C4B1E34"/>
    <w:rsid w:val="5C6B34A4"/>
    <w:rsid w:val="5C724DE8"/>
    <w:rsid w:val="5C9F2FD9"/>
    <w:rsid w:val="5CC315AF"/>
    <w:rsid w:val="5CD11974"/>
    <w:rsid w:val="5CD6117E"/>
    <w:rsid w:val="5CE40E00"/>
    <w:rsid w:val="5D005DFA"/>
    <w:rsid w:val="5D107BA8"/>
    <w:rsid w:val="5D192F00"/>
    <w:rsid w:val="5D1C04EB"/>
    <w:rsid w:val="5D2732DD"/>
    <w:rsid w:val="5D3715D8"/>
    <w:rsid w:val="5D3F1174"/>
    <w:rsid w:val="5D7FA2A4"/>
    <w:rsid w:val="5D867E6A"/>
    <w:rsid w:val="5D8A5BAC"/>
    <w:rsid w:val="5D8E17DA"/>
    <w:rsid w:val="5DA31058"/>
    <w:rsid w:val="5DAE40EE"/>
    <w:rsid w:val="5DB287E7"/>
    <w:rsid w:val="5DBB178B"/>
    <w:rsid w:val="5DC6470A"/>
    <w:rsid w:val="5DCF5080"/>
    <w:rsid w:val="5DD60DF1"/>
    <w:rsid w:val="5DDB2191"/>
    <w:rsid w:val="5DE63AAD"/>
    <w:rsid w:val="5DED09C6"/>
    <w:rsid w:val="5DEF9A2A"/>
    <w:rsid w:val="5DF22D33"/>
    <w:rsid w:val="5E082F75"/>
    <w:rsid w:val="5E0A1E55"/>
    <w:rsid w:val="5E0B2C9C"/>
    <w:rsid w:val="5E1358D5"/>
    <w:rsid w:val="5E3311D0"/>
    <w:rsid w:val="5E3FEC27"/>
    <w:rsid w:val="5E436947"/>
    <w:rsid w:val="5E5CE77E"/>
    <w:rsid w:val="5E5D6E1D"/>
    <w:rsid w:val="5E6C3504"/>
    <w:rsid w:val="5E734F09"/>
    <w:rsid w:val="5E7AE749"/>
    <w:rsid w:val="5E7D74BF"/>
    <w:rsid w:val="5E87CAFE"/>
    <w:rsid w:val="5EAF683A"/>
    <w:rsid w:val="5ED167B4"/>
    <w:rsid w:val="5EDD9B78"/>
    <w:rsid w:val="5EF7101F"/>
    <w:rsid w:val="5EFE551B"/>
    <w:rsid w:val="5EFF2422"/>
    <w:rsid w:val="5F1F018B"/>
    <w:rsid w:val="5F1F61E7"/>
    <w:rsid w:val="5F4B3479"/>
    <w:rsid w:val="5F4B4EC7"/>
    <w:rsid w:val="5F4E49B7"/>
    <w:rsid w:val="5F671FB6"/>
    <w:rsid w:val="5F7F8424"/>
    <w:rsid w:val="5F857B8E"/>
    <w:rsid w:val="5F9342A8"/>
    <w:rsid w:val="5F9A9842"/>
    <w:rsid w:val="5F9D6D44"/>
    <w:rsid w:val="5FBE5F8C"/>
    <w:rsid w:val="5FC3E0C2"/>
    <w:rsid w:val="5FD39F6E"/>
    <w:rsid w:val="5FE25E48"/>
    <w:rsid w:val="5FE54A4A"/>
    <w:rsid w:val="5FE70EFC"/>
    <w:rsid w:val="5FEA01E9"/>
    <w:rsid w:val="5FEF5AE3"/>
    <w:rsid w:val="5FEF9CDF"/>
    <w:rsid w:val="5FF98158"/>
    <w:rsid w:val="5FFE5E75"/>
    <w:rsid w:val="5FFF095F"/>
    <w:rsid w:val="5FFF9503"/>
    <w:rsid w:val="5FFFB3F9"/>
    <w:rsid w:val="60010C0C"/>
    <w:rsid w:val="600449FA"/>
    <w:rsid w:val="60641CD3"/>
    <w:rsid w:val="609B5E12"/>
    <w:rsid w:val="60B42F40"/>
    <w:rsid w:val="60CC028A"/>
    <w:rsid w:val="60F656FF"/>
    <w:rsid w:val="60FF240D"/>
    <w:rsid w:val="610606BB"/>
    <w:rsid w:val="61175E6E"/>
    <w:rsid w:val="61335B85"/>
    <w:rsid w:val="615C785F"/>
    <w:rsid w:val="615F17FF"/>
    <w:rsid w:val="61734BA9"/>
    <w:rsid w:val="61850089"/>
    <w:rsid w:val="61D373F6"/>
    <w:rsid w:val="61DC301F"/>
    <w:rsid w:val="61DC6C34"/>
    <w:rsid w:val="61F44573"/>
    <w:rsid w:val="62140F93"/>
    <w:rsid w:val="621F43E9"/>
    <w:rsid w:val="62311B55"/>
    <w:rsid w:val="623A1223"/>
    <w:rsid w:val="62413F15"/>
    <w:rsid w:val="62442A0C"/>
    <w:rsid w:val="62466788"/>
    <w:rsid w:val="62471074"/>
    <w:rsid w:val="627273E6"/>
    <w:rsid w:val="629833BF"/>
    <w:rsid w:val="62E505AE"/>
    <w:rsid w:val="62FC6C1E"/>
    <w:rsid w:val="62FD472A"/>
    <w:rsid w:val="631448DA"/>
    <w:rsid w:val="63294F0A"/>
    <w:rsid w:val="63343CD5"/>
    <w:rsid w:val="6344600B"/>
    <w:rsid w:val="63525F52"/>
    <w:rsid w:val="636C18B0"/>
    <w:rsid w:val="638B7F88"/>
    <w:rsid w:val="63971320"/>
    <w:rsid w:val="63B7BAFE"/>
    <w:rsid w:val="63D93361"/>
    <w:rsid w:val="63F7ED2C"/>
    <w:rsid w:val="6417329C"/>
    <w:rsid w:val="641E6213"/>
    <w:rsid w:val="64475C36"/>
    <w:rsid w:val="644D348F"/>
    <w:rsid w:val="64567BEE"/>
    <w:rsid w:val="64607054"/>
    <w:rsid w:val="647C3D75"/>
    <w:rsid w:val="64947F4B"/>
    <w:rsid w:val="64A01811"/>
    <w:rsid w:val="64D92F75"/>
    <w:rsid w:val="650049A6"/>
    <w:rsid w:val="65005F44"/>
    <w:rsid w:val="650A1380"/>
    <w:rsid w:val="651F4D8E"/>
    <w:rsid w:val="653B778C"/>
    <w:rsid w:val="654B3E73"/>
    <w:rsid w:val="6551749A"/>
    <w:rsid w:val="65567E1B"/>
    <w:rsid w:val="656B612C"/>
    <w:rsid w:val="65750EF0"/>
    <w:rsid w:val="657F6A92"/>
    <w:rsid w:val="657FA36C"/>
    <w:rsid w:val="65894FAB"/>
    <w:rsid w:val="65AA12F0"/>
    <w:rsid w:val="65DDFDD6"/>
    <w:rsid w:val="65E816C2"/>
    <w:rsid w:val="65EC4433"/>
    <w:rsid w:val="65ED47D1"/>
    <w:rsid w:val="65F12C91"/>
    <w:rsid w:val="65FF9DC4"/>
    <w:rsid w:val="66655079"/>
    <w:rsid w:val="667A2E1B"/>
    <w:rsid w:val="668A09CB"/>
    <w:rsid w:val="668D2028"/>
    <w:rsid w:val="668E41E0"/>
    <w:rsid w:val="66A63D1B"/>
    <w:rsid w:val="66C051B1"/>
    <w:rsid w:val="66C7577B"/>
    <w:rsid w:val="66EA092B"/>
    <w:rsid w:val="670422A5"/>
    <w:rsid w:val="670A38BA"/>
    <w:rsid w:val="67441712"/>
    <w:rsid w:val="676FCD6E"/>
    <w:rsid w:val="6773E8F3"/>
    <w:rsid w:val="678436AC"/>
    <w:rsid w:val="67AE693B"/>
    <w:rsid w:val="67C473FE"/>
    <w:rsid w:val="67FF98FD"/>
    <w:rsid w:val="6805233D"/>
    <w:rsid w:val="6812492A"/>
    <w:rsid w:val="682A6756"/>
    <w:rsid w:val="6855610D"/>
    <w:rsid w:val="687F1027"/>
    <w:rsid w:val="68AB2B0E"/>
    <w:rsid w:val="68CD0CA0"/>
    <w:rsid w:val="68D658E1"/>
    <w:rsid w:val="68FD817F"/>
    <w:rsid w:val="69004F52"/>
    <w:rsid w:val="6917406C"/>
    <w:rsid w:val="691A3CCE"/>
    <w:rsid w:val="69667EC4"/>
    <w:rsid w:val="69713C44"/>
    <w:rsid w:val="69782D5D"/>
    <w:rsid w:val="698C2294"/>
    <w:rsid w:val="69FC6AC2"/>
    <w:rsid w:val="6A0E7DD9"/>
    <w:rsid w:val="6A297A3F"/>
    <w:rsid w:val="6A2D7D21"/>
    <w:rsid w:val="6A883927"/>
    <w:rsid w:val="6ABE08EB"/>
    <w:rsid w:val="6AC5539F"/>
    <w:rsid w:val="6ACB609A"/>
    <w:rsid w:val="6AFB1985"/>
    <w:rsid w:val="6B171DE0"/>
    <w:rsid w:val="6B292E9C"/>
    <w:rsid w:val="6B5307C5"/>
    <w:rsid w:val="6B711B5F"/>
    <w:rsid w:val="6B7E88ED"/>
    <w:rsid w:val="6B923E7E"/>
    <w:rsid w:val="6BBDF7C3"/>
    <w:rsid w:val="6BE40822"/>
    <w:rsid w:val="6BF568E6"/>
    <w:rsid w:val="6BFFAB65"/>
    <w:rsid w:val="6C0858B3"/>
    <w:rsid w:val="6C330CB8"/>
    <w:rsid w:val="6C3FAB14"/>
    <w:rsid w:val="6C4C227F"/>
    <w:rsid w:val="6C504884"/>
    <w:rsid w:val="6C6B4119"/>
    <w:rsid w:val="6C711CE5"/>
    <w:rsid w:val="6C8934D3"/>
    <w:rsid w:val="6CC42172"/>
    <w:rsid w:val="6CE614D6"/>
    <w:rsid w:val="6D140FEE"/>
    <w:rsid w:val="6D297178"/>
    <w:rsid w:val="6D535C01"/>
    <w:rsid w:val="6D910891"/>
    <w:rsid w:val="6D985DE1"/>
    <w:rsid w:val="6D9D07BB"/>
    <w:rsid w:val="6DE035C6"/>
    <w:rsid w:val="6DED2A65"/>
    <w:rsid w:val="6DF1621C"/>
    <w:rsid w:val="6DF66475"/>
    <w:rsid w:val="6DF7A619"/>
    <w:rsid w:val="6DFBB71B"/>
    <w:rsid w:val="6E2A4841"/>
    <w:rsid w:val="6E5A26E7"/>
    <w:rsid w:val="6E5F273D"/>
    <w:rsid w:val="6E7C1D75"/>
    <w:rsid w:val="6EB917AD"/>
    <w:rsid w:val="6ECD4683"/>
    <w:rsid w:val="6EE9778A"/>
    <w:rsid w:val="6EE9D17F"/>
    <w:rsid w:val="6F070DFD"/>
    <w:rsid w:val="6F106CF5"/>
    <w:rsid w:val="6F2D0972"/>
    <w:rsid w:val="6F3E2CFE"/>
    <w:rsid w:val="6F597AA1"/>
    <w:rsid w:val="6F6D1ACE"/>
    <w:rsid w:val="6F885CC3"/>
    <w:rsid w:val="6F8B3406"/>
    <w:rsid w:val="6F8B7EA3"/>
    <w:rsid w:val="6F8B96A6"/>
    <w:rsid w:val="6F8D71F0"/>
    <w:rsid w:val="6F9DE25C"/>
    <w:rsid w:val="6FB72105"/>
    <w:rsid w:val="6FBB4203"/>
    <w:rsid w:val="6FBBE756"/>
    <w:rsid w:val="6FBF37F7"/>
    <w:rsid w:val="6FBF4864"/>
    <w:rsid w:val="6FD1161C"/>
    <w:rsid w:val="6FD79E4B"/>
    <w:rsid w:val="6FD902CD"/>
    <w:rsid w:val="6FDE6714"/>
    <w:rsid w:val="6FDE8880"/>
    <w:rsid w:val="6FDFA1C0"/>
    <w:rsid w:val="6FDFCCB1"/>
    <w:rsid w:val="6FE25D77"/>
    <w:rsid w:val="6FEB0267"/>
    <w:rsid w:val="6FEE4ACD"/>
    <w:rsid w:val="6FEFC91D"/>
    <w:rsid w:val="6FF5DF61"/>
    <w:rsid w:val="6FFE06DC"/>
    <w:rsid w:val="6FFE510F"/>
    <w:rsid w:val="6FFF03F3"/>
    <w:rsid w:val="6FFF2E5A"/>
    <w:rsid w:val="6FFF61EB"/>
    <w:rsid w:val="6FFF93D2"/>
    <w:rsid w:val="701E26CF"/>
    <w:rsid w:val="702C48A1"/>
    <w:rsid w:val="70A94143"/>
    <w:rsid w:val="70F353BF"/>
    <w:rsid w:val="70F4568C"/>
    <w:rsid w:val="71267D14"/>
    <w:rsid w:val="71495B9C"/>
    <w:rsid w:val="71655A4E"/>
    <w:rsid w:val="716C2879"/>
    <w:rsid w:val="717B6A90"/>
    <w:rsid w:val="718E152E"/>
    <w:rsid w:val="71BDE798"/>
    <w:rsid w:val="71C52A01"/>
    <w:rsid w:val="71D27ECE"/>
    <w:rsid w:val="71D40D4C"/>
    <w:rsid w:val="71F25676"/>
    <w:rsid w:val="72117BE8"/>
    <w:rsid w:val="7212757B"/>
    <w:rsid w:val="72440ACF"/>
    <w:rsid w:val="724800A1"/>
    <w:rsid w:val="72541E8D"/>
    <w:rsid w:val="725D0290"/>
    <w:rsid w:val="72803F7F"/>
    <w:rsid w:val="72A13D86"/>
    <w:rsid w:val="72C139C6"/>
    <w:rsid w:val="72D15D46"/>
    <w:rsid w:val="72D27981"/>
    <w:rsid w:val="72D86BD3"/>
    <w:rsid w:val="72E132CF"/>
    <w:rsid w:val="72E9ACF4"/>
    <w:rsid w:val="73104B4D"/>
    <w:rsid w:val="731138EB"/>
    <w:rsid w:val="731E1C41"/>
    <w:rsid w:val="73375A36"/>
    <w:rsid w:val="7344320D"/>
    <w:rsid w:val="734D525A"/>
    <w:rsid w:val="73577500"/>
    <w:rsid w:val="735F1F95"/>
    <w:rsid w:val="73738CA2"/>
    <w:rsid w:val="73770529"/>
    <w:rsid w:val="738D38A8"/>
    <w:rsid w:val="73A11255"/>
    <w:rsid w:val="73AF381F"/>
    <w:rsid w:val="73C47F1D"/>
    <w:rsid w:val="73CC612C"/>
    <w:rsid w:val="73E8A99E"/>
    <w:rsid w:val="73F7B2E3"/>
    <w:rsid w:val="743F5758"/>
    <w:rsid w:val="745A113A"/>
    <w:rsid w:val="745E571D"/>
    <w:rsid w:val="746F5193"/>
    <w:rsid w:val="74704AA1"/>
    <w:rsid w:val="747E61FB"/>
    <w:rsid w:val="7483407E"/>
    <w:rsid w:val="749A6A33"/>
    <w:rsid w:val="74A4534E"/>
    <w:rsid w:val="74B82BA7"/>
    <w:rsid w:val="74BB0398"/>
    <w:rsid w:val="74BD1F6B"/>
    <w:rsid w:val="74CB1EDB"/>
    <w:rsid w:val="74F51705"/>
    <w:rsid w:val="751229A3"/>
    <w:rsid w:val="75260595"/>
    <w:rsid w:val="753164B5"/>
    <w:rsid w:val="753530F5"/>
    <w:rsid w:val="753C5F35"/>
    <w:rsid w:val="75607568"/>
    <w:rsid w:val="757C1E26"/>
    <w:rsid w:val="758B2BA7"/>
    <w:rsid w:val="75907680"/>
    <w:rsid w:val="75A121CD"/>
    <w:rsid w:val="75BA021E"/>
    <w:rsid w:val="75F145C2"/>
    <w:rsid w:val="75F419BD"/>
    <w:rsid w:val="75FF0C10"/>
    <w:rsid w:val="75FF7CB1"/>
    <w:rsid w:val="761C12FD"/>
    <w:rsid w:val="761E4C8C"/>
    <w:rsid w:val="76483133"/>
    <w:rsid w:val="7666685A"/>
    <w:rsid w:val="769E221E"/>
    <w:rsid w:val="769F4550"/>
    <w:rsid w:val="76BEDC27"/>
    <w:rsid w:val="76C024E2"/>
    <w:rsid w:val="76DB5A4E"/>
    <w:rsid w:val="76E82FD5"/>
    <w:rsid w:val="76ECDCB8"/>
    <w:rsid w:val="76FF7C98"/>
    <w:rsid w:val="7709140C"/>
    <w:rsid w:val="772ECBE3"/>
    <w:rsid w:val="773B8689"/>
    <w:rsid w:val="774B75E6"/>
    <w:rsid w:val="775BC2E3"/>
    <w:rsid w:val="775D138B"/>
    <w:rsid w:val="77632FEC"/>
    <w:rsid w:val="77674B55"/>
    <w:rsid w:val="776763C9"/>
    <w:rsid w:val="776E5142"/>
    <w:rsid w:val="776F86A9"/>
    <w:rsid w:val="779A2714"/>
    <w:rsid w:val="77A6B0EC"/>
    <w:rsid w:val="77B9B0C1"/>
    <w:rsid w:val="77D56EFF"/>
    <w:rsid w:val="77D5F5D1"/>
    <w:rsid w:val="77E617D9"/>
    <w:rsid w:val="77E7A51A"/>
    <w:rsid w:val="77EF4FCE"/>
    <w:rsid w:val="77EFB7DB"/>
    <w:rsid w:val="77EFD598"/>
    <w:rsid w:val="77F71ABD"/>
    <w:rsid w:val="77F71C38"/>
    <w:rsid w:val="77FD261C"/>
    <w:rsid w:val="77FF2132"/>
    <w:rsid w:val="77FFA601"/>
    <w:rsid w:val="78186E47"/>
    <w:rsid w:val="78253E41"/>
    <w:rsid w:val="782A3DBC"/>
    <w:rsid w:val="7853184B"/>
    <w:rsid w:val="78570929"/>
    <w:rsid w:val="785A4D59"/>
    <w:rsid w:val="786502E0"/>
    <w:rsid w:val="787E2531"/>
    <w:rsid w:val="788E0664"/>
    <w:rsid w:val="78916E6C"/>
    <w:rsid w:val="78B611AB"/>
    <w:rsid w:val="78C806AA"/>
    <w:rsid w:val="78D01A6F"/>
    <w:rsid w:val="78E94A21"/>
    <w:rsid w:val="78F581DA"/>
    <w:rsid w:val="78FE7584"/>
    <w:rsid w:val="78FFD7C2"/>
    <w:rsid w:val="79084F07"/>
    <w:rsid w:val="790C526F"/>
    <w:rsid w:val="79183C14"/>
    <w:rsid w:val="791D6122"/>
    <w:rsid w:val="793FE45D"/>
    <w:rsid w:val="796F3023"/>
    <w:rsid w:val="79802C49"/>
    <w:rsid w:val="798F1AF1"/>
    <w:rsid w:val="79910FC0"/>
    <w:rsid w:val="79A17CF4"/>
    <w:rsid w:val="79ACD51A"/>
    <w:rsid w:val="79B127B9"/>
    <w:rsid w:val="79BF71B9"/>
    <w:rsid w:val="79C01DAA"/>
    <w:rsid w:val="79D96C01"/>
    <w:rsid w:val="79E415BB"/>
    <w:rsid w:val="79ED5230"/>
    <w:rsid w:val="79F6A24D"/>
    <w:rsid w:val="79F6EACB"/>
    <w:rsid w:val="79FD51F1"/>
    <w:rsid w:val="7A064340"/>
    <w:rsid w:val="7A1669D2"/>
    <w:rsid w:val="7A2A5BBD"/>
    <w:rsid w:val="7A32426B"/>
    <w:rsid w:val="7A8157E9"/>
    <w:rsid w:val="7A99501E"/>
    <w:rsid w:val="7AA86C83"/>
    <w:rsid w:val="7AB91427"/>
    <w:rsid w:val="7AB9B43B"/>
    <w:rsid w:val="7ABC5759"/>
    <w:rsid w:val="7AC21F7B"/>
    <w:rsid w:val="7AD026D3"/>
    <w:rsid w:val="7AD39BC2"/>
    <w:rsid w:val="7AD81BC9"/>
    <w:rsid w:val="7ADF999D"/>
    <w:rsid w:val="7ADFDF91"/>
    <w:rsid w:val="7AEB31F6"/>
    <w:rsid w:val="7AED10D1"/>
    <w:rsid w:val="7AEE2BF2"/>
    <w:rsid w:val="7AFB7C1C"/>
    <w:rsid w:val="7B013240"/>
    <w:rsid w:val="7B0348BD"/>
    <w:rsid w:val="7B052E72"/>
    <w:rsid w:val="7B0666BC"/>
    <w:rsid w:val="7B120D62"/>
    <w:rsid w:val="7B1955D8"/>
    <w:rsid w:val="7B1B34C7"/>
    <w:rsid w:val="7BBFA3D3"/>
    <w:rsid w:val="7BCE2CB0"/>
    <w:rsid w:val="7BD81D81"/>
    <w:rsid w:val="7BDF0A19"/>
    <w:rsid w:val="7BF4E965"/>
    <w:rsid w:val="7BF521E9"/>
    <w:rsid w:val="7BF62FAC"/>
    <w:rsid w:val="7BFA3546"/>
    <w:rsid w:val="7BFBCF00"/>
    <w:rsid w:val="7BFEE41C"/>
    <w:rsid w:val="7BFF1C18"/>
    <w:rsid w:val="7C0242FF"/>
    <w:rsid w:val="7C09509A"/>
    <w:rsid w:val="7C0A3201"/>
    <w:rsid w:val="7C114E83"/>
    <w:rsid w:val="7C12710A"/>
    <w:rsid w:val="7C251548"/>
    <w:rsid w:val="7C2FBC68"/>
    <w:rsid w:val="7C53250F"/>
    <w:rsid w:val="7C7FDA07"/>
    <w:rsid w:val="7C84240C"/>
    <w:rsid w:val="7CDC31AB"/>
    <w:rsid w:val="7CDD0D6C"/>
    <w:rsid w:val="7CED9261"/>
    <w:rsid w:val="7CF624BE"/>
    <w:rsid w:val="7CFBB880"/>
    <w:rsid w:val="7CFF3847"/>
    <w:rsid w:val="7CFF6500"/>
    <w:rsid w:val="7D185CF8"/>
    <w:rsid w:val="7D20704E"/>
    <w:rsid w:val="7D230AD2"/>
    <w:rsid w:val="7D24527D"/>
    <w:rsid w:val="7D3D3464"/>
    <w:rsid w:val="7D605B8A"/>
    <w:rsid w:val="7D6FCE77"/>
    <w:rsid w:val="7D7F7B67"/>
    <w:rsid w:val="7D83520C"/>
    <w:rsid w:val="7D893462"/>
    <w:rsid w:val="7D995730"/>
    <w:rsid w:val="7D9C4987"/>
    <w:rsid w:val="7DA47908"/>
    <w:rsid w:val="7DAA3FF0"/>
    <w:rsid w:val="7DAB14FB"/>
    <w:rsid w:val="7DB70C3B"/>
    <w:rsid w:val="7DC93C6B"/>
    <w:rsid w:val="7DD10399"/>
    <w:rsid w:val="7DD12FF3"/>
    <w:rsid w:val="7DD32800"/>
    <w:rsid w:val="7DD86068"/>
    <w:rsid w:val="7DDF11A4"/>
    <w:rsid w:val="7DE7680A"/>
    <w:rsid w:val="7DEF3E29"/>
    <w:rsid w:val="7DF15996"/>
    <w:rsid w:val="7DF719A7"/>
    <w:rsid w:val="7DFD5AF9"/>
    <w:rsid w:val="7DFF1F99"/>
    <w:rsid w:val="7E14799E"/>
    <w:rsid w:val="7E1A042F"/>
    <w:rsid w:val="7E21356B"/>
    <w:rsid w:val="7E2D1F10"/>
    <w:rsid w:val="7E3E2F52"/>
    <w:rsid w:val="7E3E5306"/>
    <w:rsid w:val="7E4E2723"/>
    <w:rsid w:val="7E5C27F5"/>
    <w:rsid w:val="7E655B4E"/>
    <w:rsid w:val="7E6817D6"/>
    <w:rsid w:val="7EA72A07"/>
    <w:rsid w:val="7EAD0735"/>
    <w:rsid w:val="7EBC6EE8"/>
    <w:rsid w:val="7EBF0C47"/>
    <w:rsid w:val="7EBF3D01"/>
    <w:rsid w:val="7ED097AB"/>
    <w:rsid w:val="7ED237A2"/>
    <w:rsid w:val="7EE6DD14"/>
    <w:rsid w:val="7EE87B37"/>
    <w:rsid w:val="7EEA4CC4"/>
    <w:rsid w:val="7EEB9FC8"/>
    <w:rsid w:val="7EEDE1C5"/>
    <w:rsid w:val="7EF46ED2"/>
    <w:rsid w:val="7EFB655B"/>
    <w:rsid w:val="7EFDC041"/>
    <w:rsid w:val="7EFF872B"/>
    <w:rsid w:val="7EFFA73A"/>
    <w:rsid w:val="7F144E7E"/>
    <w:rsid w:val="7F2B01C4"/>
    <w:rsid w:val="7F2BEF08"/>
    <w:rsid w:val="7F2F2562"/>
    <w:rsid w:val="7F435763"/>
    <w:rsid w:val="7F585F8F"/>
    <w:rsid w:val="7F587460"/>
    <w:rsid w:val="7F5E3367"/>
    <w:rsid w:val="7F5F3D40"/>
    <w:rsid w:val="7F60371C"/>
    <w:rsid w:val="7F752B5D"/>
    <w:rsid w:val="7F75710D"/>
    <w:rsid w:val="7F79D4F9"/>
    <w:rsid w:val="7F7B72FB"/>
    <w:rsid w:val="7F7F85A2"/>
    <w:rsid w:val="7F8738A2"/>
    <w:rsid w:val="7F88F726"/>
    <w:rsid w:val="7F93112B"/>
    <w:rsid w:val="7F936070"/>
    <w:rsid w:val="7F9B651A"/>
    <w:rsid w:val="7F9FC179"/>
    <w:rsid w:val="7FA5CF7E"/>
    <w:rsid w:val="7FAF3472"/>
    <w:rsid w:val="7FB359B9"/>
    <w:rsid w:val="7FB473C1"/>
    <w:rsid w:val="7FB68DF0"/>
    <w:rsid w:val="7FB72E75"/>
    <w:rsid w:val="7FBBE0B5"/>
    <w:rsid w:val="7FBBF7C9"/>
    <w:rsid w:val="7FBD5079"/>
    <w:rsid w:val="7FBE7C21"/>
    <w:rsid w:val="7FBEA57D"/>
    <w:rsid w:val="7FBED686"/>
    <w:rsid w:val="7FBF7622"/>
    <w:rsid w:val="7FC27694"/>
    <w:rsid w:val="7FCC5758"/>
    <w:rsid w:val="7FCD90FC"/>
    <w:rsid w:val="7FCDECF9"/>
    <w:rsid w:val="7FD5D55E"/>
    <w:rsid w:val="7FD60385"/>
    <w:rsid w:val="7FD61763"/>
    <w:rsid w:val="7FD750AF"/>
    <w:rsid w:val="7FDB19D4"/>
    <w:rsid w:val="7FDE5910"/>
    <w:rsid w:val="7FDFAC55"/>
    <w:rsid w:val="7FDFC8D1"/>
    <w:rsid w:val="7FE527D9"/>
    <w:rsid w:val="7FE5FBF6"/>
    <w:rsid w:val="7FE721C8"/>
    <w:rsid w:val="7FE96A4C"/>
    <w:rsid w:val="7FF4AA78"/>
    <w:rsid w:val="7FF7D7FE"/>
    <w:rsid w:val="7FF7F0EA"/>
    <w:rsid w:val="7FFA82DD"/>
    <w:rsid w:val="7FFB88D5"/>
    <w:rsid w:val="7FFCB26E"/>
    <w:rsid w:val="7FFD7BDA"/>
    <w:rsid w:val="7FFD9FAE"/>
    <w:rsid w:val="7FFDCAA0"/>
    <w:rsid w:val="7FFE17F4"/>
    <w:rsid w:val="7FFEC91C"/>
    <w:rsid w:val="7FFF3358"/>
    <w:rsid w:val="7FFF3A25"/>
    <w:rsid w:val="7FFF3D63"/>
    <w:rsid w:val="7FFFB6B3"/>
    <w:rsid w:val="7FFFEFAD"/>
    <w:rsid w:val="816EBC1C"/>
    <w:rsid w:val="837F97CB"/>
    <w:rsid w:val="83F5447D"/>
    <w:rsid w:val="86CD2215"/>
    <w:rsid w:val="87FB9589"/>
    <w:rsid w:val="88CFD224"/>
    <w:rsid w:val="8B6EF2C9"/>
    <w:rsid w:val="8E25A407"/>
    <w:rsid w:val="8FFD836B"/>
    <w:rsid w:val="93DF620B"/>
    <w:rsid w:val="977B5D60"/>
    <w:rsid w:val="9AFFE6CA"/>
    <w:rsid w:val="9DBAE05B"/>
    <w:rsid w:val="9DFBA0C7"/>
    <w:rsid w:val="9FBF6A38"/>
    <w:rsid w:val="9FE70ACE"/>
    <w:rsid w:val="9FEDD1BB"/>
    <w:rsid w:val="9FEFA16A"/>
    <w:rsid w:val="9FFFA905"/>
    <w:rsid w:val="A53C30EB"/>
    <w:rsid w:val="A6FEF828"/>
    <w:rsid w:val="A73F20FC"/>
    <w:rsid w:val="A7799AEC"/>
    <w:rsid w:val="A8BB7E51"/>
    <w:rsid w:val="ABE7C24A"/>
    <w:rsid w:val="ACB5D895"/>
    <w:rsid w:val="ACF9F370"/>
    <w:rsid w:val="ACFF783F"/>
    <w:rsid w:val="AD9BF6B7"/>
    <w:rsid w:val="ADBC833D"/>
    <w:rsid w:val="ADDEBFB5"/>
    <w:rsid w:val="ADED50AF"/>
    <w:rsid w:val="AEBBA222"/>
    <w:rsid w:val="AF1BD836"/>
    <w:rsid w:val="AF4F9167"/>
    <w:rsid w:val="AFD74478"/>
    <w:rsid w:val="AFDF1879"/>
    <w:rsid w:val="AFF541E1"/>
    <w:rsid w:val="AFFB492E"/>
    <w:rsid w:val="B3E7BB23"/>
    <w:rsid w:val="B3FE8A31"/>
    <w:rsid w:val="B57DA2F2"/>
    <w:rsid w:val="B59DF472"/>
    <w:rsid w:val="B5CF5AEA"/>
    <w:rsid w:val="B6CBE650"/>
    <w:rsid w:val="B73EDACE"/>
    <w:rsid w:val="B741577F"/>
    <w:rsid w:val="B75BD154"/>
    <w:rsid w:val="B795DFF4"/>
    <w:rsid w:val="B7AF81C4"/>
    <w:rsid w:val="B7BB3BD0"/>
    <w:rsid w:val="B7EBD113"/>
    <w:rsid w:val="B7F702D0"/>
    <w:rsid w:val="B7FD2566"/>
    <w:rsid w:val="B8BFDFE0"/>
    <w:rsid w:val="BAFF846B"/>
    <w:rsid w:val="BB73FC1C"/>
    <w:rsid w:val="BB853C36"/>
    <w:rsid w:val="BB9FABF3"/>
    <w:rsid w:val="BBB6559D"/>
    <w:rsid w:val="BBDDDE6D"/>
    <w:rsid w:val="BBDE1958"/>
    <w:rsid w:val="BBDFB0CF"/>
    <w:rsid w:val="BBEF43C5"/>
    <w:rsid w:val="BBFF9DD6"/>
    <w:rsid w:val="BCF75D7A"/>
    <w:rsid w:val="BCF94F3D"/>
    <w:rsid w:val="BCFD27F0"/>
    <w:rsid w:val="BD1F9D00"/>
    <w:rsid w:val="BD63426D"/>
    <w:rsid w:val="BDB72374"/>
    <w:rsid w:val="BDD8EF78"/>
    <w:rsid w:val="BDDE61E0"/>
    <w:rsid w:val="BDFB769D"/>
    <w:rsid w:val="BDFE8884"/>
    <w:rsid w:val="BE0CF771"/>
    <w:rsid w:val="BE57F877"/>
    <w:rsid w:val="BE725299"/>
    <w:rsid w:val="BEA76596"/>
    <w:rsid w:val="BEBAE066"/>
    <w:rsid w:val="BEF555C8"/>
    <w:rsid w:val="BEF5AB2A"/>
    <w:rsid w:val="BEFD1E7C"/>
    <w:rsid w:val="BEFF2A67"/>
    <w:rsid w:val="BEFFCC8B"/>
    <w:rsid w:val="BF1E064A"/>
    <w:rsid w:val="BF3FFF29"/>
    <w:rsid w:val="BF7F5FDD"/>
    <w:rsid w:val="BFCFF3F6"/>
    <w:rsid w:val="BFE32BE4"/>
    <w:rsid w:val="BFEFC667"/>
    <w:rsid w:val="BFF20B29"/>
    <w:rsid w:val="BFF75D72"/>
    <w:rsid w:val="C3F70DC4"/>
    <w:rsid w:val="C3FF5894"/>
    <w:rsid w:val="C7EF4A44"/>
    <w:rsid w:val="C7F3FFBD"/>
    <w:rsid w:val="C9FEA068"/>
    <w:rsid w:val="CA9B6EC0"/>
    <w:rsid w:val="CDAE4EDC"/>
    <w:rsid w:val="CDFA6FEE"/>
    <w:rsid w:val="CE9D661C"/>
    <w:rsid w:val="CF5FA584"/>
    <w:rsid w:val="CFD8F0A8"/>
    <w:rsid w:val="CFEB32C9"/>
    <w:rsid w:val="CFEF5CA0"/>
    <w:rsid w:val="CFF77463"/>
    <w:rsid w:val="D1FB24DB"/>
    <w:rsid w:val="D3DFF23D"/>
    <w:rsid w:val="D3E74C57"/>
    <w:rsid w:val="D5FDA11C"/>
    <w:rsid w:val="D6BC272F"/>
    <w:rsid w:val="D6F4F5AD"/>
    <w:rsid w:val="D7B36D24"/>
    <w:rsid w:val="D7DE25B1"/>
    <w:rsid w:val="D7DEC7EE"/>
    <w:rsid w:val="D7ED0036"/>
    <w:rsid w:val="D867D162"/>
    <w:rsid w:val="D89AAA74"/>
    <w:rsid w:val="D8DFC712"/>
    <w:rsid w:val="D9FDAF04"/>
    <w:rsid w:val="DB57BBF7"/>
    <w:rsid w:val="DBDB58AA"/>
    <w:rsid w:val="DBDF717D"/>
    <w:rsid w:val="DBEFE8A6"/>
    <w:rsid w:val="DBF796C1"/>
    <w:rsid w:val="DBFB4022"/>
    <w:rsid w:val="DBFF55DA"/>
    <w:rsid w:val="DBFF7C59"/>
    <w:rsid w:val="DC6ACC76"/>
    <w:rsid w:val="DD6EB9CB"/>
    <w:rsid w:val="DD77DBFC"/>
    <w:rsid w:val="DDDD3AAA"/>
    <w:rsid w:val="DDFF9BBD"/>
    <w:rsid w:val="DE5B1729"/>
    <w:rsid w:val="DEBDE491"/>
    <w:rsid w:val="DECFE504"/>
    <w:rsid w:val="DEFFF88B"/>
    <w:rsid w:val="DF6EEF67"/>
    <w:rsid w:val="DF6F673E"/>
    <w:rsid w:val="DF7644E7"/>
    <w:rsid w:val="DF7F6559"/>
    <w:rsid w:val="DFBB277E"/>
    <w:rsid w:val="DFBCD0BC"/>
    <w:rsid w:val="DFBD1572"/>
    <w:rsid w:val="DFC99911"/>
    <w:rsid w:val="DFCB6B9B"/>
    <w:rsid w:val="DFCFE673"/>
    <w:rsid w:val="DFEFFB4A"/>
    <w:rsid w:val="DFF72C0C"/>
    <w:rsid w:val="DFF762AC"/>
    <w:rsid w:val="DFFD56EB"/>
    <w:rsid w:val="DFFDC1EC"/>
    <w:rsid w:val="DFFE4E81"/>
    <w:rsid w:val="DFFE94C0"/>
    <w:rsid w:val="E374C507"/>
    <w:rsid w:val="E3D35396"/>
    <w:rsid w:val="E3FB990F"/>
    <w:rsid w:val="E47F08F1"/>
    <w:rsid w:val="E55F3C44"/>
    <w:rsid w:val="E676C28A"/>
    <w:rsid w:val="E6D76A9D"/>
    <w:rsid w:val="E7172CE5"/>
    <w:rsid w:val="E79D488D"/>
    <w:rsid w:val="E7E73954"/>
    <w:rsid w:val="E7E74F06"/>
    <w:rsid w:val="E7F58531"/>
    <w:rsid w:val="E7F73512"/>
    <w:rsid w:val="E7F76B7D"/>
    <w:rsid w:val="E7FD669B"/>
    <w:rsid w:val="EB5EC710"/>
    <w:rsid w:val="EB776932"/>
    <w:rsid w:val="EB7E363E"/>
    <w:rsid w:val="EB8FCC53"/>
    <w:rsid w:val="EB9D279D"/>
    <w:rsid w:val="EBF6F7EC"/>
    <w:rsid w:val="EBFEF502"/>
    <w:rsid w:val="EC7FEDDE"/>
    <w:rsid w:val="ECF7A08F"/>
    <w:rsid w:val="ECFC42F7"/>
    <w:rsid w:val="EDDD4315"/>
    <w:rsid w:val="EDEBB741"/>
    <w:rsid w:val="EDF3AE4B"/>
    <w:rsid w:val="EE6F7CE4"/>
    <w:rsid w:val="EEBFAC09"/>
    <w:rsid w:val="EEEF2470"/>
    <w:rsid w:val="EEF46A14"/>
    <w:rsid w:val="EEFF3481"/>
    <w:rsid w:val="EF5F849E"/>
    <w:rsid w:val="EF7722C6"/>
    <w:rsid w:val="EF7F3D9A"/>
    <w:rsid w:val="EFAEB203"/>
    <w:rsid w:val="EFB760A1"/>
    <w:rsid w:val="EFDB1127"/>
    <w:rsid w:val="EFFF2E6D"/>
    <w:rsid w:val="EFFF5CA2"/>
    <w:rsid w:val="EFFF84F9"/>
    <w:rsid w:val="EFFFFF24"/>
    <w:rsid w:val="F050DC21"/>
    <w:rsid w:val="F1BFC573"/>
    <w:rsid w:val="F1DF48E0"/>
    <w:rsid w:val="F2F5F649"/>
    <w:rsid w:val="F3570537"/>
    <w:rsid w:val="F37F139F"/>
    <w:rsid w:val="F3DFA1DA"/>
    <w:rsid w:val="F3ED6A9D"/>
    <w:rsid w:val="F4F52638"/>
    <w:rsid w:val="F557A752"/>
    <w:rsid w:val="F5BF9B4B"/>
    <w:rsid w:val="F5D2239A"/>
    <w:rsid w:val="F5EF1F14"/>
    <w:rsid w:val="F5F7E76E"/>
    <w:rsid w:val="F5FE629B"/>
    <w:rsid w:val="F642D576"/>
    <w:rsid w:val="F659801D"/>
    <w:rsid w:val="F66B4D4B"/>
    <w:rsid w:val="F67F17BD"/>
    <w:rsid w:val="F6FD3E54"/>
    <w:rsid w:val="F6FE5E72"/>
    <w:rsid w:val="F72BCE6F"/>
    <w:rsid w:val="F73DCAC5"/>
    <w:rsid w:val="F7975AF9"/>
    <w:rsid w:val="F7B43459"/>
    <w:rsid w:val="F7C64531"/>
    <w:rsid w:val="F7C9181A"/>
    <w:rsid w:val="F7CF5C85"/>
    <w:rsid w:val="F7D1D8AE"/>
    <w:rsid w:val="F7D72DFF"/>
    <w:rsid w:val="F7E79063"/>
    <w:rsid w:val="F7EE2517"/>
    <w:rsid w:val="F7F80EB2"/>
    <w:rsid w:val="F7FFBC90"/>
    <w:rsid w:val="F7FFF4A2"/>
    <w:rsid w:val="F8F3220E"/>
    <w:rsid w:val="F8FFF9CE"/>
    <w:rsid w:val="F957E1D3"/>
    <w:rsid w:val="F97D2818"/>
    <w:rsid w:val="F9EB57D5"/>
    <w:rsid w:val="F9EF8D71"/>
    <w:rsid w:val="F9F58104"/>
    <w:rsid w:val="F9FE0830"/>
    <w:rsid w:val="FA8BB60B"/>
    <w:rsid w:val="FAD9053D"/>
    <w:rsid w:val="FADF3728"/>
    <w:rsid w:val="FAE931A2"/>
    <w:rsid w:val="FB2B8857"/>
    <w:rsid w:val="FB4F3BE6"/>
    <w:rsid w:val="FB50D532"/>
    <w:rsid w:val="FB5FD576"/>
    <w:rsid w:val="FB6FE636"/>
    <w:rsid w:val="FB7B0F75"/>
    <w:rsid w:val="FB7F1D6E"/>
    <w:rsid w:val="FB7F3DD8"/>
    <w:rsid w:val="FB7F5F49"/>
    <w:rsid w:val="FB8567F8"/>
    <w:rsid w:val="FBA540A2"/>
    <w:rsid w:val="FBBB0F51"/>
    <w:rsid w:val="FBE3DD29"/>
    <w:rsid w:val="FBEE6A4C"/>
    <w:rsid w:val="FBEFF7F2"/>
    <w:rsid w:val="FBF0F819"/>
    <w:rsid w:val="FBFA7BE4"/>
    <w:rsid w:val="FBFCCF44"/>
    <w:rsid w:val="FBFF3149"/>
    <w:rsid w:val="FBFF3C27"/>
    <w:rsid w:val="FC4D3909"/>
    <w:rsid w:val="FC6D63FB"/>
    <w:rsid w:val="FC6ECDC2"/>
    <w:rsid w:val="FC7AFEB6"/>
    <w:rsid w:val="FC7FB450"/>
    <w:rsid w:val="FCF5A05D"/>
    <w:rsid w:val="FCF77C00"/>
    <w:rsid w:val="FCFDCD70"/>
    <w:rsid w:val="FCFF1BAB"/>
    <w:rsid w:val="FCFFD552"/>
    <w:rsid w:val="FD5DFAC8"/>
    <w:rsid w:val="FD634801"/>
    <w:rsid w:val="FD6C295E"/>
    <w:rsid w:val="FDBA724F"/>
    <w:rsid w:val="FDBD3B6A"/>
    <w:rsid w:val="FDCB99B1"/>
    <w:rsid w:val="FDCD5D28"/>
    <w:rsid w:val="FDD3043D"/>
    <w:rsid w:val="FDDF0627"/>
    <w:rsid w:val="FDDFE1C4"/>
    <w:rsid w:val="FDEE4C52"/>
    <w:rsid w:val="FDF7163C"/>
    <w:rsid w:val="FDF74B6C"/>
    <w:rsid w:val="FDFFA2B6"/>
    <w:rsid w:val="FE5F9864"/>
    <w:rsid w:val="FE7B064A"/>
    <w:rsid w:val="FE7DB371"/>
    <w:rsid w:val="FE9F6C5C"/>
    <w:rsid w:val="FEC3A0A4"/>
    <w:rsid w:val="FEDA5853"/>
    <w:rsid w:val="FEDD66A5"/>
    <w:rsid w:val="FEED5B06"/>
    <w:rsid w:val="FEFC5FA5"/>
    <w:rsid w:val="FEFFC887"/>
    <w:rsid w:val="FF1E567A"/>
    <w:rsid w:val="FF332E34"/>
    <w:rsid w:val="FF33360F"/>
    <w:rsid w:val="FF3B9D7C"/>
    <w:rsid w:val="FF5B8C35"/>
    <w:rsid w:val="FF61EA7E"/>
    <w:rsid w:val="FF6F113B"/>
    <w:rsid w:val="FF6F39E4"/>
    <w:rsid w:val="FF6FDD80"/>
    <w:rsid w:val="FF773AD7"/>
    <w:rsid w:val="FF7C6EF1"/>
    <w:rsid w:val="FF7EF9FD"/>
    <w:rsid w:val="FF7F4235"/>
    <w:rsid w:val="FF7FF368"/>
    <w:rsid w:val="FF8FE574"/>
    <w:rsid w:val="FF9D6D8A"/>
    <w:rsid w:val="FF9D93E8"/>
    <w:rsid w:val="FF9DD64C"/>
    <w:rsid w:val="FF9F8BBA"/>
    <w:rsid w:val="FFAF68BC"/>
    <w:rsid w:val="FFAFC8C1"/>
    <w:rsid w:val="FFB705E0"/>
    <w:rsid w:val="FFB7E3A6"/>
    <w:rsid w:val="FFB96F4A"/>
    <w:rsid w:val="FFBB6E63"/>
    <w:rsid w:val="FFBB6F5E"/>
    <w:rsid w:val="FFBBF514"/>
    <w:rsid w:val="FFBD8CC1"/>
    <w:rsid w:val="FFBE4660"/>
    <w:rsid w:val="FFBF1CC6"/>
    <w:rsid w:val="FFD73CBE"/>
    <w:rsid w:val="FFDB1C60"/>
    <w:rsid w:val="FFDF2FA9"/>
    <w:rsid w:val="FFDF5D51"/>
    <w:rsid w:val="FFDFB0DB"/>
    <w:rsid w:val="FFE53FE5"/>
    <w:rsid w:val="FFE9EDBA"/>
    <w:rsid w:val="FFECE2EB"/>
    <w:rsid w:val="FFF21735"/>
    <w:rsid w:val="FFF3E6C2"/>
    <w:rsid w:val="FFF59DDE"/>
    <w:rsid w:val="FFF949AB"/>
    <w:rsid w:val="FFF9CBFE"/>
    <w:rsid w:val="FFFA1C26"/>
    <w:rsid w:val="FFFB7F35"/>
    <w:rsid w:val="FFFB883C"/>
    <w:rsid w:val="FFFBB334"/>
    <w:rsid w:val="FFFBCA5A"/>
    <w:rsid w:val="FFFC5B1C"/>
    <w:rsid w:val="FFFD2E77"/>
    <w:rsid w:val="FFFD667C"/>
    <w:rsid w:val="FFFD8E87"/>
    <w:rsid w:val="FFFF37E6"/>
    <w:rsid w:val="FFFF7A67"/>
    <w:rsid w:val="FFFF8101"/>
    <w:rsid w:val="FFFF9587"/>
    <w:rsid w:val="FFFFA09B"/>
    <w:rsid w:val="FFFFA402"/>
    <w:rsid w:val="FFFFEA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nhideWhenUsed="0" w:uiPriority="0" w:semiHidden="0" w:name="footer"/>
    <w:lsdException w:uiPriority="99" w:name="index heading"/>
    <w:lsdException w:qFormat="1" w:uiPriority="35" w:name="caption"/>
    <w:lsdException w:qFormat="1" w:unhideWhenUsed="0" w:uiPriority="0" w:semiHidden="0" w:name="table of figures"/>
    <w:lsdException w:uiPriority="99" w:name="envelope address"/>
    <w:lsdException w:qFormat="1" w:uiPriority="99" w:semiHidden="0"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jc w:val="both"/>
    </w:pPr>
    <w:rPr>
      <w:rFonts w:hint="eastAsia" w:ascii="Arial Unicode MS" w:hAnsi="Arial Unicode MS" w:eastAsia="Arial Unicode MS" w:cs="Arial Unicode MS"/>
      <w:color w:val="000000"/>
      <w:kern w:val="2"/>
      <w:sz w:val="21"/>
      <w:szCs w:val="21"/>
      <w:lang w:val="zh-TW" w:eastAsia="zh-TW" w:bidi="ar-SA"/>
    </w:rPr>
  </w:style>
  <w:style w:type="paragraph" w:styleId="2">
    <w:name w:val="heading 1"/>
    <w:basedOn w:val="1"/>
    <w:next w:val="1"/>
    <w:link w:val="70"/>
    <w:qFormat/>
    <w:uiPriority w:val="0"/>
    <w:pPr>
      <w:keepNext/>
      <w:keepLines/>
      <w:spacing w:before="340" w:after="330" w:line="578" w:lineRule="auto"/>
      <w:outlineLvl w:val="0"/>
    </w:pPr>
    <w:rPr>
      <w:rFonts w:hint="default" w:cs="Times New Roman"/>
      <w:b/>
      <w:bCs/>
      <w:kern w:val="44"/>
      <w:sz w:val="44"/>
      <w:szCs w:val="44"/>
    </w:rPr>
  </w:style>
  <w:style w:type="paragraph" w:styleId="3">
    <w:name w:val="heading 2"/>
    <w:basedOn w:val="1"/>
    <w:next w:val="1"/>
    <w:link w:val="69"/>
    <w:qFormat/>
    <w:uiPriority w:val="0"/>
    <w:pPr>
      <w:keepNext/>
      <w:keepLines/>
      <w:spacing w:before="260" w:after="260" w:line="416" w:lineRule="auto"/>
      <w:outlineLvl w:val="1"/>
    </w:pPr>
    <w:rPr>
      <w:rFonts w:hint="default" w:ascii="Cambria" w:hAnsi="Cambria" w:eastAsia="宋体" w:cs="Times New Roman"/>
      <w:b/>
      <w:bCs/>
      <w:kern w:val="0"/>
      <w:sz w:val="32"/>
      <w:szCs w:val="32"/>
    </w:rPr>
  </w:style>
  <w:style w:type="paragraph" w:styleId="4">
    <w:name w:val="heading 3"/>
    <w:basedOn w:val="1"/>
    <w:next w:val="1"/>
    <w:link w:val="71"/>
    <w:qFormat/>
    <w:uiPriority w:val="0"/>
    <w:pPr>
      <w:keepNext/>
      <w:keepLines/>
      <w:spacing w:before="260" w:after="260" w:line="416" w:lineRule="auto"/>
      <w:outlineLvl w:val="2"/>
    </w:pPr>
    <w:rPr>
      <w:rFonts w:hint="default" w:cs="Times New Roman"/>
      <w:b/>
      <w:bCs/>
      <w:kern w:val="0"/>
      <w:sz w:val="32"/>
      <w:szCs w:val="32"/>
    </w:rPr>
  </w:style>
  <w:style w:type="paragraph" w:styleId="5">
    <w:name w:val="heading 4"/>
    <w:basedOn w:val="1"/>
    <w:next w:val="1"/>
    <w:link w:val="72"/>
    <w:qFormat/>
    <w:uiPriority w:val="0"/>
    <w:pPr>
      <w:keepNext/>
      <w:keepLines/>
      <w:widowControl w:val="0"/>
      <w:spacing w:before="280" w:after="290" w:line="372" w:lineRule="auto"/>
      <w:outlineLvl w:val="3"/>
    </w:pPr>
    <w:rPr>
      <w:rFonts w:hint="default" w:ascii="Arial" w:hAnsi="Arial" w:eastAsia="黑体" w:cs="Times New Roman"/>
      <w:b/>
      <w:color w:val="auto"/>
      <w:sz w:val="28"/>
      <w:szCs w:val="24"/>
    </w:rPr>
  </w:style>
  <w:style w:type="paragraph" w:styleId="6">
    <w:name w:val="heading 5"/>
    <w:basedOn w:val="1"/>
    <w:next w:val="1"/>
    <w:link w:val="73"/>
    <w:qFormat/>
    <w:uiPriority w:val="0"/>
    <w:pPr>
      <w:keepNext/>
      <w:keepLines/>
      <w:widowControl w:val="0"/>
      <w:spacing w:line="372" w:lineRule="auto"/>
      <w:ind w:firstLine="402"/>
      <w:outlineLvl w:val="4"/>
    </w:pPr>
    <w:rPr>
      <w:rFonts w:hint="default" w:ascii="仿宋_GB2312" w:hAnsi="Times New Roman" w:eastAsia="仿宋_GB2312" w:cs="Times New Roman"/>
      <w:b/>
      <w:color w:val="auto"/>
      <w:sz w:val="28"/>
      <w:szCs w:val="32"/>
    </w:rPr>
  </w:style>
  <w:style w:type="paragraph" w:styleId="7">
    <w:name w:val="heading 6"/>
    <w:basedOn w:val="1"/>
    <w:next w:val="1"/>
    <w:link w:val="74"/>
    <w:qFormat/>
    <w:uiPriority w:val="0"/>
    <w:pPr>
      <w:keepNext/>
      <w:keepLines/>
      <w:widowControl w:val="0"/>
      <w:spacing w:line="317" w:lineRule="auto"/>
      <w:ind w:firstLine="402"/>
      <w:outlineLvl w:val="5"/>
    </w:pPr>
    <w:rPr>
      <w:rFonts w:hint="default" w:ascii="Arial" w:hAnsi="Arial" w:eastAsia="黑体" w:cs="Times New Roman"/>
      <w:b/>
      <w:color w:val="auto"/>
      <w:sz w:val="24"/>
      <w:szCs w:val="32"/>
    </w:rPr>
  </w:style>
  <w:style w:type="paragraph" w:styleId="8">
    <w:name w:val="heading 7"/>
    <w:basedOn w:val="1"/>
    <w:next w:val="1"/>
    <w:link w:val="75"/>
    <w:qFormat/>
    <w:uiPriority w:val="0"/>
    <w:pPr>
      <w:keepNext/>
      <w:keepLines/>
      <w:widowControl w:val="0"/>
      <w:spacing w:line="317" w:lineRule="auto"/>
      <w:ind w:firstLine="402"/>
      <w:outlineLvl w:val="6"/>
    </w:pPr>
    <w:rPr>
      <w:rFonts w:hint="default" w:ascii="仿宋_GB2312" w:hAnsi="Times New Roman" w:eastAsia="仿宋_GB2312" w:cs="Times New Roman"/>
      <w:b/>
      <w:color w:val="auto"/>
      <w:sz w:val="24"/>
      <w:szCs w:val="32"/>
    </w:rPr>
  </w:style>
  <w:style w:type="paragraph" w:styleId="9">
    <w:name w:val="heading 8"/>
    <w:basedOn w:val="1"/>
    <w:next w:val="1"/>
    <w:link w:val="76"/>
    <w:qFormat/>
    <w:uiPriority w:val="0"/>
    <w:pPr>
      <w:keepNext/>
      <w:keepLines/>
      <w:widowControl w:val="0"/>
      <w:spacing w:line="317" w:lineRule="auto"/>
      <w:ind w:firstLine="402"/>
      <w:outlineLvl w:val="7"/>
    </w:pPr>
    <w:rPr>
      <w:rFonts w:hint="default" w:ascii="Arial" w:hAnsi="Arial" w:eastAsia="黑体" w:cs="Times New Roman"/>
      <w:color w:val="auto"/>
      <w:sz w:val="24"/>
      <w:szCs w:val="32"/>
    </w:rPr>
  </w:style>
  <w:style w:type="paragraph" w:styleId="10">
    <w:name w:val="heading 9"/>
    <w:basedOn w:val="1"/>
    <w:next w:val="1"/>
    <w:link w:val="77"/>
    <w:qFormat/>
    <w:uiPriority w:val="0"/>
    <w:pPr>
      <w:keepNext/>
      <w:keepLines/>
      <w:widowControl w:val="0"/>
      <w:spacing w:line="317" w:lineRule="auto"/>
      <w:ind w:firstLine="402"/>
      <w:outlineLvl w:val="8"/>
    </w:pPr>
    <w:rPr>
      <w:rFonts w:hint="default" w:ascii="Arial" w:hAnsi="Arial" w:eastAsia="黑体" w:cs="Times New Roman"/>
      <w:color w:val="auto"/>
      <w:szCs w:val="32"/>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widowControl w:val="0"/>
      <w:ind w:left="2520" w:leftChars="1200"/>
    </w:pPr>
    <w:rPr>
      <w:rFonts w:hint="default" w:ascii="Times New Roman" w:hAnsi="Times New Roman" w:eastAsia="宋体" w:cs="Times New Roman"/>
      <w:color w:val="auto"/>
      <w:szCs w:val="24"/>
      <w:lang w:val="en-US" w:eastAsia="zh-CN"/>
    </w:rPr>
  </w:style>
  <w:style w:type="paragraph" w:styleId="12">
    <w:name w:val="table of authorities"/>
    <w:basedOn w:val="1"/>
    <w:next w:val="1"/>
    <w:qFormat/>
    <w:uiPriority w:val="0"/>
    <w:pPr>
      <w:ind w:left="420" w:leftChars="200"/>
    </w:pPr>
  </w:style>
  <w:style w:type="paragraph" w:styleId="13">
    <w:name w:val="Normal Indent"/>
    <w:basedOn w:val="1"/>
    <w:link w:val="78"/>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paragraph" w:styleId="14">
    <w:name w:val="annotation text"/>
    <w:basedOn w:val="1"/>
    <w:link w:val="79"/>
    <w:unhideWhenUsed/>
    <w:qFormat/>
    <w:uiPriority w:val="0"/>
    <w:pPr>
      <w:jc w:val="left"/>
    </w:pPr>
    <w:rPr>
      <w:rFonts w:hint="default" w:cs="Times New Roman"/>
      <w:kern w:val="0"/>
      <w:sz w:val="20"/>
    </w:rPr>
  </w:style>
  <w:style w:type="paragraph" w:styleId="15">
    <w:name w:val="Body Text 3"/>
    <w:basedOn w:val="1"/>
    <w:link w:val="80"/>
    <w:qFormat/>
    <w:uiPriority w:val="0"/>
    <w:pPr>
      <w:widowControl w:val="0"/>
      <w:spacing w:after="120"/>
    </w:pPr>
    <w:rPr>
      <w:rFonts w:hint="default" w:ascii="Times New Roman" w:hAnsi="Times New Roman" w:eastAsia="宋体" w:cs="Times New Roman"/>
      <w:color w:val="auto"/>
      <w:sz w:val="16"/>
      <w:szCs w:val="16"/>
    </w:rPr>
  </w:style>
  <w:style w:type="paragraph" w:styleId="16">
    <w:name w:val="Body Text"/>
    <w:basedOn w:val="1"/>
    <w:next w:val="17"/>
    <w:link w:val="81"/>
    <w:qFormat/>
    <w:uiPriority w:val="0"/>
    <w:pPr>
      <w:widowControl w:val="0"/>
      <w:tabs>
        <w:tab w:val="left" w:pos="567"/>
      </w:tabs>
      <w:spacing w:before="120" w:line="22" w:lineRule="atLeast"/>
    </w:pPr>
    <w:rPr>
      <w:rFonts w:hint="default" w:ascii="宋体" w:hAnsi="宋体" w:eastAsia="宋体" w:cs="Times New Roman"/>
      <w:color w:val="auto"/>
      <w:sz w:val="24"/>
      <w:szCs w:val="24"/>
    </w:rPr>
  </w:style>
  <w:style w:type="paragraph" w:customStyle="1" w:styleId="17">
    <w:name w:val="Default"/>
    <w:next w:val="1"/>
    <w:qFormat/>
    <w:uiPriority w:val="0"/>
    <w:pPr>
      <w:widowControl w:val="0"/>
      <w:autoSpaceDE w:val="0"/>
      <w:autoSpaceDN w:val="0"/>
      <w:adjustRightInd w:val="0"/>
      <w:spacing w:after="160" w:line="278" w:lineRule="auto"/>
    </w:pPr>
    <w:rPr>
      <w:rFonts w:ascii="Arial" w:hAnsi="Arial" w:eastAsia="宋体" w:cs="Arial"/>
      <w:color w:val="000000"/>
      <w:sz w:val="24"/>
      <w:szCs w:val="24"/>
      <w:lang w:val="en-US" w:eastAsia="zh-CN" w:bidi="ar-SA"/>
    </w:rPr>
  </w:style>
  <w:style w:type="paragraph" w:styleId="18">
    <w:name w:val="Body Text Indent"/>
    <w:basedOn w:val="1"/>
    <w:next w:val="19"/>
    <w:link w:val="82"/>
    <w:qFormat/>
    <w:uiPriority w:val="0"/>
    <w:pPr>
      <w:widowControl w:val="0"/>
      <w:spacing w:line="360" w:lineRule="auto"/>
      <w:ind w:firstLine="570"/>
    </w:pPr>
    <w:rPr>
      <w:rFonts w:hint="default" w:ascii="Times New Roman" w:hAnsi="Times New Roman" w:eastAsia="宋体" w:cs="Times New Roman"/>
      <w:color w:val="auto"/>
      <w:sz w:val="24"/>
      <w:szCs w:val="24"/>
    </w:rPr>
  </w:style>
  <w:style w:type="paragraph" w:styleId="19">
    <w:name w:val="envelope return"/>
    <w:basedOn w:val="1"/>
    <w:unhideWhenUsed/>
    <w:qFormat/>
    <w:uiPriority w:val="99"/>
    <w:pPr>
      <w:snapToGrid w:val="0"/>
    </w:pPr>
    <w:rPr>
      <w:rFonts w:ascii="Arial" w:hAnsi="Arial"/>
    </w:rPr>
  </w:style>
  <w:style w:type="paragraph" w:styleId="20">
    <w:name w:val="List Continue"/>
    <w:basedOn w:val="1"/>
    <w:qFormat/>
    <w:uiPriority w:val="0"/>
    <w:pPr>
      <w:widowControl w:val="0"/>
      <w:spacing w:after="120"/>
      <w:ind w:left="420"/>
    </w:pPr>
    <w:rPr>
      <w:rFonts w:hint="default" w:ascii="Times New Roman" w:hAnsi="Times New Roman" w:eastAsia="楷体_GB2312" w:cs="Times New Roman"/>
      <w:color w:val="auto"/>
      <w:sz w:val="32"/>
      <w:szCs w:val="20"/>
      <w:lang w:val="en-US" w:eastAsia="zh-CN"/>
    </w:rPr>
  </w:style>
  <w:style w:type="paragraph" w:styleId="21">
    <w:name w:val="Block Text"/>
    <w:basedOn w:val="1"/>
    <w:qFormat/>
    <w:uiPriority w:val="0"/>
    <w:pPr>
      <w:widowControl w:val="0"/>
      <w:adjustRightInd w:val="0"/>
      <w:ind w:left="420" w:right="33"/>
      <w:jc w:val="left"/>
      <w:textAlignment w:val="baseline"/>
    </w:pPr>
    <w:rPr>
      <w:rFonts w:hint="default" w:ascii="Times New Roman" w:hAnsi="Times New Roman" w:eastAsia="宋体" w:cs="Times New Roman"/>
      <w:color w:val="auto"/>
      <w:kern w:val="0"/>
      <w:sz w:val="24"/>
      <w:szCs w:val="20"/>
      <w:lang w:val="en-US" w:eastAsia="zh-CN"/>
    </w:rPr>
  </w:style>
  <w:style w:type="paragraph" w:styleId="22">
    <w:name w:val="index 4"/>
    <w:basedOn w:val="1"/>
    <w:next w:val="1"/>
    <w:qFormat/>
    <w:uiPriority w:val="0"/>
    <w:pPr>
      <w:ind w:left="560" w:leftChars="200"/>
    </w:pPr>
    <w:rPr>
      <w:sz w:val="28"/>
    </w:rPr>
  </w:style>
  <w:style w:type="paragraph" w:styleId="23">
    <w:name w:val="toc 5"/>
    <w:basedOn w:val="1"/>
    <w:next w:val="1"/>
    <w:qFormat/>
    <w:uiPriority w:val="39"/>
    <w:pPr>
      <w:widowControl w:val="0"/>
      <w:ind w:left="1680" w:leftChars="800"/>
    </w:pPr>
    <w:rPr>
      <w:rFonts w:hint="default" w:ascii="Times New Roman" w:hAnsi="Times New Roman" w:eastAsia="宋体" w:cs="Times New Roman"/>
      <w:color w:val="auto"/>
      <w:szCs w:val="24"/>
      <w:lang w:val="en-US" w:eastAsia="zh-CN"/>
    </w:rPr>
  </w:style>
  <w:style w:type="paragraph" w:styleId="24">
    <w:name w:val="toc 3"/>
    <w:basedOn w:val="1"/>
    <w:next w:val="1"/>
    <w:unhideWhenUsed/>
    <w:qFormat/>
    <w:uiPriority w:val="39"/>
    <w:pPr>
      <w:spacing w:after="100" w:line="276" w:lineRule="auto"/>
      <w:ind w:left="440"/>
      <w:jc w:val="left"/>
    </w:pPr>
    <w:rPr>
      <w:rFonts w:hint="default" w:ascii="Calibri" w:hAnsi="Calibri" w:eastAsia="宋体" w:cs="Times New Roman"/>
      <w:color w:val="auto"/>
      <w:kern w:val="0"/>
      <w:sz w:val="22"/>
      <w:szCs w:val="22"/>
      <w:lang w:val="en-US" w:eastAsia="zh-CN"/>
    </w:rPr>
  </w:style>
  <w:style w:type="paragraph" w:styleId="25">
    <w:name w:val="Plain Text"/>
    <w:basedOn w:val="1"/>
    <w:link w:val="83"/>
    <w:qFormat/>
    <w:uiPriority w:val="0"/>
    <w:pPr>
      <w:widowControl w:val="0"/>
    </w:pPr>
    <w:rPr>
      <w:rFonts w:hint="default" w:ascii="宋体" w:hAnsi="Courier New" w:eastAsia="宋体" w:cs="Times New Roman"/>
      <w:color w:val="auto"/>
      <w:kern w:val="0"/>
      <w:sz w:val="20"/>
      <w:szCs w:val="20"/>
    </w:rPr>
  </w:style>
  <w:style w:type="paragraph" w:styleId="26">
    <w:name w:val="toc 8"/>
    <w:basedOn w:val="1"/>
    <w:next w:val="1"/>
    <w:qFormat/>
    <w:uiPriority w:val="39"/>
    <w:pPr>
      <w:widowControl w:val="0"/>
      <w:ind w:left="2940" w:leftChars="1400"/>
    </w:pPr>
    <w:rPr>
      <w:rFonts w:hint="default" w:ascii="Times New Roman" w:hAnsi="Times New Roman" w:eastAsia="宋体" w:cs="Times New Roman"/>
      <w:color w:val="auto"/>
      <w:szCs w:val="24"/>
      <w:lang w:val="en-US" w:eastAsia="zh-CN"/>
    </w:rPr>
  </w:style>
  <w:style w:type="paragraph" w:styleId="27">
    <w:name w:val="Date"/>
    <w:basedOn w:val="1"/>
    <w:next w:val="1"/>
    <w:link w:val="84"/>
    <w:qFormat/>
    <w:uiPriority w:val="99"/>
    <w:pPr>
      <w:widowControl w:val="0"/>
      <w:ind w:left="100" w:leftChars="2500"/>
    </w:pPr>
    <w:rPr>
      <w:rFonts w:hint="default" w:ascii="仿宋_GB2312" w:hAnsi="宋体" w:eastAsia="仿宋_GB2312" w:cs="Times New Roman"/>
      <w:sz w:val="24"/>
      <w:szCs w:val="24"/>
    </w:rPr>
  </w:style>
  <w:style w:type="paragraph" w:styleId="28">
    <w:name w:val="Body Text Indent 2"/>
    <w:basedOn w:val="1"/>
    <w:link w:val="85"/>
    <w:qFormat/>
    <w:uiPriority w:val="0"/>
    <w:pPr>
      <w:widowControl w:val="0"/>
      <w:ind w:firstLine="480" w:firstLineChars="200"/>
    </w:pPr>
    <w:rPr>
      <w:rFonts w:hint="default" w:ascii="仿宋_GB2312" w:hAnsi="Times New Roman" w:eastAsia="仿宋_GB2312" w:cs="Times New Roman"/>
      <w:color w:val="auto"/>
      <w:sz w:val="24"/>
      <w:szCs w:val="24"/>
    </w:rPr>
  </w:style>
  <w:style w:type="paragraph" w:styleId="29">
    <w:name w:val="Balloon Text"/>
    <w:basedOn w:val="1"/>
    <w:link w:val="86"/>
    <w:unhideWhenUsed/>
    <w:qFormat/>
    <w:uiPriority w:val="0"/>
    <w:rPr>
      <w:rFonts w:hint="default" w:cs="Times New Roman"/>
      <w:kern w:val="0"/>
      <w:sz w:val="18"/>
      <w:szCs w:val="18"/>
    </w:rPr>
  </w:style>
  <w:style w:type="paragraph" w:styleId="30">
    <w:name w:val="footer"/>
    <w:basedOn w:val="1"/>
    <w:link w:val="87"/>
    <w:qFormat/>
    <w:uiPriority w:val="0"/>
    <w:pPr>
      <w:tabs>
        <w:tab w:val="center" w:pos="4153"/>
        <w:tab w:val="right" w:pos="8306"/>
      </w:tabs>
    </w:pPr>
    <w:rPr>
      <w:rFonts w:hint="default" w:ascii="宋体" w:hAnsi="宋体" w:eastAsia="宋体" w:cs="Times New Roman"/>
      <w:kern w:val="0"/>
      <w:sz w:val="18"/>
      <w:szCs w:val="18"/>
    </w:rPr>
  </w:style>
  <w:style w:type="paragraph" w:styleId="31">
    <w:name w:val="header"/>
    <w:basedOn w:val="1"/>
    <w:link w:val="88"/>
    <w:unhideWhenUsed/>
    <w:qFormat/>
    <w:uiPriority w:val="0"/>
    <w:pPr>
      <w:pBdr>
        <w:bottom w:val="single" w:color="auto" w:sz="6" w:space="1"/>
      </w:pBdr>
      <w:tabs>
        <w:tab w:val="center" w:pos="4153"/>
        <w:tab w:val="right" w:pos="8306"/>
      </w:tabs>
      <w:snapToGrid w:val="0"/>
      <w:jc w:val="center"/>
    </w:pPr>
    <w:rPr>
      <w:rFonts w:hint="default" w:cs="Times New Roman"/>
      <w:kern w:val="0"/>
      <w:sz w:val="18"/>
      <w:szCs w:val="18"/>
    </w:rPr>
  </w:style>
  <w:style w:type="paragraph" w:styleId="32">
    <w:name w:val="toc 1"/>
    <w:basedOn w:val="1"/>
    <w:next w:val="1"/>
    <w:unhideWhenUsed/>
    <w:qFormat/>
    <w:uiPriority w:val="39"/>
    <w:pPr>
      <w:spacing w:after="100" w:line="276" w:lineRule="auto"/>
      <w:jc w:val="left"/>
    </w:pPr>
    <w:rPr>
      <w:rFonts w:hint="default" w:ascii="Calibri" w:hAnsi="Calibri" w:eastAsia="宋体" w:cs="Times New Roman"/>
      <w:color w:val="auto"/>
      <w:kern w:val="0"/>
      <w:sz w:val="22"/>
      <w:szCs w:val="22"/>
      <w:lang w:val="en-US" w:eastAsia="zh-CN"/>
    </w:rPr>
  </w:style>
  <w:style w:type="paragraph" w:styleId="33">
    <w:name w:val="toc 4"/>
    <w:basedOn w:val="1"/>
    <w:next w:val="1"/>
    <w:qFormat/>
    <w:uiPriority w:val="39"/>
    <w:pPr>
      <w:widowControl w:val="0"/>
      <w:ind w:left="1260" w:leftChars="600"/>
    </w:pPr>
    <w:rPr>
      <w:rFonts w:hint="default" w:ascii="Times New Roman" w:hAnsi="Times New Roman" w:eastAsia="宋体" w:cs="Times New Roman"/>
      <w:color w:val="auto"/>
      <w:szCs w:val="24"/>
      <w:lang w:val="en-US" w:eastAsia="zh-CN"/>
    </w:rPr>
  </w:style>
  <w:style w:type="paragraph" w:styleId="34">
    <w:name w:val="List"/>
    <w:basedOn w:val="1"/>
    <w:qFormat/>
    <w:uiPriority w:val="0"/>
    <w:pPr>
      <w:widowControl w:val="0"/>
      <w:ind w:left="420" w:hanging="420"/>
    </w:pPr>
    <w:rPr>
      <w:rFonts w:hint="default" w:ascii="Times New Roman" w:hAnsi="Times New Roman" w:eastAsia="楷体_GB2312" w:cs="Times New Roman"/>
      <w:color w:val="auto"/>
      <w:sz w:val="32"/>
      <w:szCs w:val="20"/>
      <w:lang w:val="en-US" w:eastAsia="zh-CN"/>
    </w:rPr>
  </w:style>
  <w:style w:type="paragraph" w:styleId="35">
    <w:name w:val="footnote text"/>
    <w:basedOn w:val="1"/>
    <w:link w:val="89"/>
    <w:qFormat/>
    <w:uiPriority w:val="0"/>
    <w:pPr>
      <w:widowControl w:val="0"/>
      <w:adjustRightInd w:val="0"/>
      <w:spacing w:line="312" w:lineRule="atLeast"/>
      <w:jc w:val="left"/>
      <w:textAlignment w:val="baseline"/>
    </w:pPr>
    <w:rPr>
      <w:rFonts w:hint="default" w:ascii="Times New Roman" w:hAnsi="Times New Roman" w:eastAsia="宋体" w:cs="Times New Roman"/>
      <w:color w:val="auto"/>
      <w:sz w:val="18"/>
      <w:szCs w:val="22"/>
    </w:rPr>
  </w:style>
  <w:style w:type="paragraph" w:styleId="36">
    <w:name w:val="toc 6"/>
    <w:basedOn w:val="1"/>
    <w:next w:val="1"/>
    <w:qFormat/>
    <w:uiPriority w:val="39"/>
    <w:pPr>
      <w:widowControl w:val="0"/>
      <w:ind w:left="2100" w:leftChars="1000"/>
    </w:pPr>
    <w:rPr>
      <w:rFonts w:hint="default" w:ascii="Times New Roman" w:hAnsi="Times New Roman" w:eastAsia="宋体" w:cs="Times New Roman"/>
      <w:color w:val="auto"/>
      <w:szCs w:val="24"/>
      <w:lang w:val="en-US" w:eastAsia="zh-CN"/>
    </w:rPr>
  </w:style>
  <w:style w:type="paragraph" w:styleId="37">
    <w:name w:val="List 5"/>
    <w:basedOn w:val="1"/>
    <w:qFormat/>
    <w:uiPriority w:val="0"/>
    <w:pPr>
      <w:widowControl w:val="0"/>
      <w:ind w:left="2100" w:hanging="420"/>
    </w:pPr>
    <w:rPr>
      <w:rFonts w:hint="default" w:ascii="Times New Roman" w:hAnsi="Times New Roman" w:eastAsia="楷体_GB2312" w:cs="Times New Roman"/>
      <w:color w:val="auto"/>
      <w:sz w:val="32"/>
      <w:szCs w:val="20"/>
      <w:lang w:val="en-US" w:eastAsia="zh-CN"/>
    </w:rPr>
  </w:style>
  <w:style w:type="paragraph" w:styleId="38">
    <w:name w:val="Body Text Indent 3"/>
    <w:basedOn w:val="1"/>
    <w:link w:val="90"/>
    <w:qFormat/>
    <w:uiPriority w:val="0"/>
    <w:pPr>
      <w:widowControl w:val="0"/>
      <w:autoSpaceDE w:val="0"/>
      <w:autoSpaceDN w:val="0"/>
      <w:adjustRightInd w:val="0"/>
      <w:spacing w:before="120" w:line="22" w:lineRule="atLeast"/>
      <w:ind w:left="720" w:firstLine="480"/>
      <w:jc w:val="left"/>
    </w:pPr>
    <w:rPr>
      <w:rFonts w:hint="default" w:ascii="宋体" w:hAnsi="Times New Roman" w:eastAsia="宋体" w:cs="Times New Roman"/>
      <w:color w:val="auto"/>
      <w:kern w:val="0"/>
      <w:sz w:val="24"/>
      <w:szCs w:val="20"/>
    </w:rPr>
  </w:style>
  <w:style w:type="paragraph" w:styleId="39">
    <w:name w:val="table of figures"/>
    <w:basedOn w:val="1"/>
    <w:next w:val="1"/>
    <w:qFormat/>
    <w:uiPriority w:val="0"/>
    <w:pPr>
      <w:ind w:left="200" w:leftChars="200" w:hanging="200" w:hangingChars="200"/>
    </w:pPr>
    <w:rPr>
      <w:rFonts w:ascii="Times New Roman" w:hAnsi="Times New Roman"/>
    </w:rPr>
  </w:style>
  <w:style w:type="paragraph" w:styleId="40">
    <w:name w:val="toc 2"/>
    <w:basedOn w:val="1"/>
    <w:next w:val="1"/>
    <w:unhideWhenUsed/>
    <w:qFormat/>
    <w:uiPriority w:val="39"/>
    <w:pPr>
      <w:spacing w:after="100" w:line="276" w:lineRule="auto"/>
      <w:ind w:left="220"/>
      <w:jc w:val="left"/>
    </w:pPr>
    <w:rPr>
      <w:rFonts w:hint="default" w:ascii="Calibri" w:hAnsi="Calibri" w:eastAsia="宋体" w:cs="Times New Roman"/>
      <w:color w:val="auto"/>
      <w:kern w:val="0"/>
      <w:sz w:val="22"/>
      <w:szCs w:val="22"/>
      <w:lang w:val="en-US" w:eastAsia="zh-CN"/>
    </w:rPr>
  </w:style>
  <w:style w:type="paragraph" w:styleId="41">
    <w:name w:val="toc 9"/>
    <w:basedOn w:val="1"/>
    <w:next w:val="1"/>
    <w:qFormat/>
    <w:uiPriority w:val="39"/>
    <w:pPr>
      <w:widowControl w:val="0"/>
      <w:ind w:left="3360" w:leftChars="1600"/>
    </w:pPr>
    <w:rPr>
      <w:rFonts w:hint="default" w:ascii="Times New Roman" w:hAnsi="Times New Roman" w:eastAsia="宋体" w:cs="Times New Roman"/>
      <w:color w:val="auto"/>
      <w:szCs w:val="24"/>
      <w:lang w:val="en-US" w:eastAsia="zh-CN"/>
    </w:rPr>
  </w:style>
  <w:style w:type="paragraph" w:styleId="42">
    <w:name w:val="Body Text 2"/>
    <w:basedOn w:val="1"/>
    <w:link w:val="91"/>
    <w:qFormat/>
    <w:uiPriority w:val="0"/>
    <w:pPr>
      <w:widowControl w:val="0"/>
      <w:spacing w:after="120" w:line="480" w:lineRule="auto"/>
    </w:pPr>
    <w:rPr>
      <w:rFonts w:hint="default" w:ascii="Times New Roman" w:hAnsi="Times New Roman" w:eastAsia="宋体" w:cs="Times New Roman"/>
      <w:color w:val="auto"/>
      <w:szCs w:val="24"/>
    </w:rPr>
  </w:style>
  <w:style w:type="paragraph" w:styleId="43">
    <w:name w:val="List 4"/>
    <w:basedOn w:val="1"/>
    <w:qFormat/>
    <w:uiPriority w:val="0"/>
    <w:pPr>
      <w:widowControl w:val="0"/>
      <w:ind w:left="1680" w:hanging="420"/>
    </w:pPr>
    <w:rPr>
      <w:rFonts w:hint="default" w:ascii="Times New Roman" w:hAnsi="Times New Roman" w:eastAsia="楷体_GB2312" w:cs="Times New Roman"/>
      <w:color w:val="auto"/>
      <w:sz w:val="32"/>
      <w:szCs w:val="20"/>
      <w:lang w:val="en-US" w:eastAsia="zh-CN"/>
    </w:rPr>
  </w:style>
  <w:style w:type="paragraph" w:styleId="44">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45">
    <w:name w:val="Normal (Web)"/>
    <w:basedOn w:val="1"/>
    <w:qFormat/>
    <w:uiPriority w:val="0"/>
    <w:pPr>
      <w:spacing w:before="100" w:beforeAutospacing="1" w:after="100" w:afterAutospacing="1"/>
      <w:jc w:val="left"/>
    </w:pPr>
    <w:rPr>
      <w:rFonts w:hint="default" w:ascii="宋体" w:hAnsi="宋体" w:eastAsia="宋体" w:cs="宋体"/>
      <w:color w:val="auto"/>
      <w:kern w:val="0"/>
      <w:sz w:val="24"/>
      <w:szCs w:val="24"/>
      <w:lang w:val="en-US" w:eastAsia="zh-CN"/>
    </w:rPr>
  </w:style>
  <w:style w:type="paragraph" w:styleId="46">
    <w:name w:val="index 1"/>
    <w:basedOn w:val="1"/>
    <w:next w:val="1"/>
    <w:qFormat/>
    <w:uiPriority w:val="0"/>
    <w:pPr>
      <w:widowControl w:val="0"/>
    </w:pPr>
    <w:rPr>
      <w:rFonts w:hint="default" w:ascii="Times New Roman" w:hAnsi="Times New Roman" w:eastAsia="宋体" w:cs="Times New Roman"/>
      <w:color w:val="auto"/>
      <w:szCs w:val="20"/>
      <w:lang w:val="en-US" w:eastAsia="zh-CN"/>
    </w:rPr>
  </w:style>
  <w:style w:type="paragraph" w:styleId="47">
    <w:name w:val="Title"/>
    <w:link w:val="92"/>
    <w:qFormat/>
    <w:uiPriority w:val="0"/>
    <w:pPr>
      <w:spacing w:before="240" w:after="60" w:line="278" w:lineRule="auto"/>
      <w:jc w:val="center"/>
    </w:pPr>
    <w:rPr>
      <w:rFonts w:ascii="Arial" w:hAnsi="Arial" w:eastAsia="Arial" w:cs="Times New Roman"/>
      <w:b/>
      <w:bCs/>
      <w:color w:val="000000"/>
      <w:sz w:val="32"/>
      <w:szCs w:val="32"/>
      <w:lang w:val="en-US" w:eastAsia="zh-CN" w:bidi="ar-SA"/>
    </w:rPr>
  </w:style>
  <w:style w:type="paragraph" w:styleId="48">
    <w:name w:val="annotation subject"/>
    <w:basedOn w:val="14"/>
    <w:next w:val="14"/>
    <w:link w:val="93"/>
    <w:qFormat/>
    <w:uiPriority w:val="0"/>
    <w:pPr>
      <w:widowControl w:val="0"/>
    </w:pPr>
    <w:rPr>
      <w:rFonts w:ascii="Times New Roman" w:hAnsi="Times New Roman" w:eastAsia="宋体"/>
      <w:b/>
      <w:bCs/>
      <w:color w:val="auto"/>
      <w:kern w:val="2"/>
      <w:sz w:val="21"/>
      <w:szCs w:val="24"/>
    </w:rPr>
  </w:style>
  <w:style w:type="paragraph" w:styleId="49">
    <w:name w:val="Body Text First Indent"/>
    <w:basedOn w:val="16"/>
    <w:next w:val="1"/>
    <w:link w:val="94"/>
    <w:qFormat/>
    <w:uiPriority w:val="0"/>
    <w:pPr>
      <w:spacing w:before="0" w:after="120" w:line="240" w:lineRule="auto"/>
      <w:ind w:firstLine="420"/>
    </w:pPr>
    <w:rPr>
      <w:rFonts w:ascii="Times New Roman" w:hAnsi="Times New Roman" w:eastAsia="楷体_GB2312"/>
      <w:sz w:val="32"/>
    </w:rPr>
  </w:style>
  <w:style w:type="paragraph" w:styleId="50">
    <w:name w:val="Body Text First Indent 2"/>
    <w:basedOn w:val="18"/>
    <w:next w:val="1"/>
    <w:link w:val="95"/>
    <w:unhideWhenUsed/>
    <w:qFormat/>
    <w:uiPriority w:val="99"/>
    <w:pPr>
      <w:spacing w:after="120" w:line="240" w:lineRule="auto"/>
      <w:ind w:left="420" w:leftChars="200" w:firstLine="420" w:firstLineChars="200"/>
    </w:pPr>
    <w:rPr>
      <w:rFonts w:ascii="Cambria" w:hAnsi="Cambria"/>
      <w:sz w:val="21"/>
    </w:rPr>
  </w:style>
  <w:style w:type="table" w:styleId="52">
    <w:name w:val="Table Grid"/>
    <w:basedOn w:val="5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qFormat/>
    <w:uiPriority w:val="0"/>
  </w:style>
  <w:style w:type="character" w:styleId="56">
    <w:name w:val="FollowedHyperlink"/>
    <w:qFormat/>
    <w:uiPriority w:val="0"/>
    <w:rPr>
      <w:color w:val="333333"/>
      <w:sz w:val="18"/>
      <w:szCs w:val="18"/>
      <w:u w:val="none"/>
    </w:rPr>
  </w:style>
  <w:style w:type="character" w:styleId="57">
    <w:name w:val="Emphasis"/>
    <w:basedOn w:val="53"/>
    <w:qFormat/>
    <w:uiPriority w:val="20"/>
    <w:rPr>
      <w:b/>
      <w:bCs/>
    </w:rPr>
  </w:style>
  <w:style w:type="character" w:styleId="58">
    <w:name w:val="HTML Definition"/>
    <w:basedOn w:val="53"/>
    <w:unhideWhenUsed/>
    <w:qFormat/>
    <w:uiPriority w:val="99"/>
  </w:style>
  <w:style w:type="character" w:styleId="59">
    <w:name w:val="HTML Typewriter"/>
    <w:basedOn w:val="53"/>
    <w:unhideWhenUsed/>
    <w:qFormat/>
    <w:uiPriority w:val="99"/>
    <w:rPr>
      <w:rFonts w:hint="default" w:ascii="monospace" w:hAnsi="monospace" w:eastAsia="monospace" w:cs="monospace"/>
      <w:sz w:val="20"/>
    </w:rPr>
  </w:style>
  <w:style w:type="character" w:styleId="60">
    <w:name w:val="HTML Acronym"/>
    <w:basedOn w:val="53"/>
    <w:unhideWhenUsed/>
    <w:qFormat/>
    <w:uiPriority w:val="99"/>
  </w:style>
  <w:style w:type="character" w:styleId="61">
    <w:name w:val="HTML Variable"/>
    <w:basedOn w:val="53"/>
    <w:unhideWhenUsed/>
    <w:qFormat/>
    <w:uiPriority w:val="99"/>
  </w:style>
  <w:style w:type="character" w:styleId="62">
    <w:name w:val="Hyperlink"/>
    <w:qFormat/>
    <w:uiPriority w:val="99"/>
    <w:rPr>
      <w:u w:val="single"/>
    </w:rPr>
  </w:style>
  <w:style w:type="character" w:styleId="63">
    <w:name w:val="HTML Code"/>
    <w:basedOn w:val="53"/>
    <w:unhideWhenUsed/>
    <w:qFormat/>
    <w:uiPriority w:val="99"/>
    <w:rPr>
      <w:rFonts w:hint="default" w:ascii="monospace" w:hAnsi="monospace" w:eastAsia="monospace" w:cs="monospace"/>
      <w:sz w:val="20"/>
    </w:rPr>
  </w:style>
  <w:style w:type="character" w:styleId="64">
    <w:name w:val="annotation reference"/>
    <w:unhideWhenUsed/>
    <w:qFormat/>
    <w:uiPriority w:val="0"/>
    <w:rPr>
      <w:sz w:val="21"/>
      <w:szCs w:val="21"/>
    </w:rPr>
  </w:style>
  <w:style w:type="character" w:styleId="65">
    <w:name w:val="HTML Cite"/>
    <w:basedOn w:val="53"/>
    <w:unhideWhenUsed/>
    <w:qFormat/>
    <w:uiPriority w:val="99"/>
  </w:style>
  <w:style w:type="character" w:styleId="66">
    <w:name w:val="footnote reference"/>
    <w:qFormat/>
    <w:uiPriority w:val="0"/>
    <w:rPr>
      <w:vertAlign w:val="superscript"/>
    </w:rPr>
  </w:style>
  <w:style w:type="character" w:styleId="67">
    <w:name w:val="HTML Keyboard"/>
    <w:basedOn w:val="53"/>
    <w:unhideWhenUsed/>
    <w:qFormat/>
    <w:uiPriority w:val="99"/>
    <w:rPr>
      <w:rFonts w:ascii="monospace" w:hAnsi="monospace" w:eastAsia="monospace" w:cs="monospace"/>
      <w:sz w:val="20"/>
    </w:rPr>
  </w:style>
  <w:style w:type="character" w:styleId="68">
    <w:name w:val="HTML Sample"/>
    <w:basedOn w:val="53"/>
    <w:unhideWhenUsed/>
    <w:qFormat/>
    <w:uiPriority w:val="99"/>
    <w:rPr>
      <w:rFonts w:hint="default" w:ascii="monospace" w:hAnsi="monospace" w:eastAsia="monospace" w:cs="monospace"/>
    </w:rPr>
  </w:style>
  <w:style w:type="character" w:customStyle="1" w:styleId="69">
    <w:name w:val="标题 2 字符"/>
    <w:link w:val="3"/>
    <w:qFormat/>
    <w:uiPriority w:val="0"/>
    <w:rPr>
      <w:rFonts w:ascii="Cambria" w:hAnsi="Cambria" w:eastAsia="宋体" w:cs="Times New Roman"/>
      <w:b/>
      <w:bCs/>
      <w:color w:val="000000"/>
      <w:sz w:val="32"/>
      <w:szCs w:val="32"/>
      <w:lang w:val="zh-TW" w:eastAsia="zh-TW"/>
    </w:rPr>
  </w:style>
  <w:style w:type="character" w:customStyle="1" w:styleId="70">
    <w:name w:val="标题 1 字符"/>
    <w:link w:val="2"/>
    <w:qFormat/>
    <w:uiPriority w:val="0"/>
    <w:rPr>
      <w:rFonts w:ascii="Arial Unicode MS" w:hAnsi="Arial Unicode MS" w:eastAsia="Arial Unicode MS" w:cs="Arial Unicode MS"/>
      <w:b/>
      <w:bCs/>
      <w:color w:val="000000"/>
      <w:kern w:val="44"/>
      <w:sz w:val="44"/>
      <w:szCs w:val="44"/>
      <w:lang w:val="zh-TW" w:eastAsia="zh-TW"/>
    </w:rPr>
  </w:style>
  <w:style w:type="character" w:customStyle="1" w:styleId="71">
    <w:name w:val="标题 3 字符"/>
    <w:link w:val="4"/>
    <w:qFormat/>
    <w:uiPriority w:val="0"/>
    <w:rPr>
      <w:rFonts w:ascii="Arial Unicode MS" w:hAnsi="Arial Unicode MS" w:eastAsia="Arial Unicode MS" w:cs="Arial Unicode MS"/>
      <w:b/>
      <w:bCs/>
      <w:color w:val="000000"/>
      <w:sz w:val="32"/>
      <w:szCs w:val="32"/>
      <w:lang w:val="zh-TW" w:eastAsia="zh-TW"/>
    </w:rPr>
  </w:style>
  <w:style w:type="character" w:customStyle="1" w:styleId="72">
    <w:name w:val="标题 4 字符"/>
    <w:link w:val="5"/>
    <w:qFormat/>
    <w:uiPriority w:val="0"/>
    <w:rPr>
      <w:rFonts w:ascii="Arial" w:hAnsi="Arial" w:eastAsia="黑体"/>
      <w:b/>
      <w:kern w:val="2"/>
      <w:sz w:val="28"/>
      <w:szCs w:val="24"/>
    </w:rPr>
  </w:style>
  <w:style w:type="character" w:customStyle="1" w:styleId="73">
    <w:name w:val="标题 5 字符"/>
    <w:link w:val="6"/>
    <w:qFormat/>
    <w:uiPriority w:val="0"/>
    <w:rPr>
      <w:rFonts w:ascii="仿宋_GB2312" w:hAnsi="Times New Roman" w:eastAsia="仿宋_GB2312"/>
      <w:b/>
      <w:kern w:val="2"/>
      <w:sz w:val="28"/>
      <w:szCs w:val="32"/>
    </w:rPr>
  </w:style>
  <w:style w:type="character" w:customStyle="1" w:styleId="74">
    <w:name w:val="标题 6 字符"/>
    <w:link w:val="7"/>
    <w:qFormat/>
    <w:uiPriority w:val="0"/>
    <w:rPr>
      <w:rFonts w:ascii="Arial" w:hAnsi="Arial" w:eastAsia="黑体"/>
      <w:b/>
      <w:kern w:val="2"/>
      <w:sz w:val="24"/>
      <w:szCs w:val="32"/>
    </w:rPr>
  </w:style>
  <w:style w:type="character" w:customStyle="1" w:styleId="75">
    <w:name w:val="标题 7 字符"/>
    <w:link w:val="8"/>
    <w:qFormat/>
    <w:uiPriority w:val="0"/>
    <w:rPr>
      <w:rFonts w:ascii="仿宋_GB2312" w:hAnsi="Times New Roman" w:eastAsia="仿宋_GB2312"/>
      <w:b/>
      <w:kern w:val="2"/>
      <w:sz w:val="24"/>
      <w:szCs w:val="32"/>
    </w:rPr>
  </w:style>
  <w:style w:type="character" w:customStyle="1" w:styleId="76">
    <w:name w:val="标题 8 字符"/>
    <w:link w:val="9"/>
    <w:qFormat/>
    <w:uiPriority w:val="0"/>
    <w:rPr>
      <w:rFonts w:ascii="Arial" w:hAnsi="Arial" w:eastAsia="黑体"/>
      <w:kern w:val="2"/>
      <w:sz w:val="24"/>
      <w:szCs w:val="32"/>
    </w:rPr>
  </w:style>
  <w:style w:type="character" w:customStyle="1" w:styleId="77">
    <w:name w:val="标题 9 字符"/>
    <w:link w:val="10"/>
    <w:qFormat/>
    <w:uiPriority w:val="0"/>
    <w:rPr>
      <w:rFonts w:ascii="Arial" w:hAnsi="Arial" w:eastAsia="黑体"/>
      <w:kern w:val="2"/>
      <w:sz w:val="21"/>
      <w:szCs w:val="32"/>
    </w:rPr>
  </w:style>
  <w:style w:type="character" w:customStyle="1" w:styleId="78">
    <w:name w:val="正文缩进 字符"/>
    <w:link w:val="13"/>
    <w:qFormat/>
    <w:uiPriority w:val="0"/>
    <w:rPr>
      <w:rFonts w:ascii="宋体"/>
      <w:sz w:val="24"/>
    </w:rPr>
  </w:style>
  <w:style w:type="character" w:customStyle="1" w:styleId="79">
    <w:name w:val="批注文字 字符"/>
    <w:link w:val="14"/>
    <w:qFormat/>
    <w:uiPriority w:val="0"/>
    <w:rPr>
      <w:rFonts w:ascii="Arial Unicode MS" w:hAnsi="Arial Unicode MS" w:eastAsia="Arial Unicode MS" w:cs="Arial Unicode MS"/>
      <w:color w:val="000000"/>
      <w:szCs w:val="21"/>
      <w:lang w:val="zh-TW" w:eastAsia="zh-TW"/>
    </w:rPr>
  </w:style>
  <w:style w:type="character" w:customStyle="1" w:styleId="80">
    <w:name w:val="正文文本 3 字符"/>
    <w:link w:val="15"/>
    <w:qFormat/>
    <w:uiPriority w:val="0"/>
    <w:rPr>
      <w:kern w:val="2"/>
      <w:sz w:val="16"/>
      <w:szCs w:val="16"/>
    </w:rPr>
  </w:style>
  <w:style w:type="character" w:customStyle="1" w:styleId="81">
    <w:name w:val="正文文本 字符1"/>
    <w:link w:val="16"/>
    <w:qFormat/>
    <w:uiPriority w:val="0"/>
    <w:rPr>
      <w:rFonts w:ascii="宋体" w:hAnsi="宋体"/>
      <w:kern w:val="2"/>
      <w:sz w:val="24"/>
      <w:szCs w:val="24"/>
    </w:rPr>
  </w:style>
  <w:style w:type="character" w:customStyle="1" w:styleId="82">
    <w:name w:val="正文文本缩进 字符"/>
    <w:link w:val="18"/>
    <w:qFormat/>
    <w:uiPriority w:val="0"/>
    <w:rPr>
      <w:kern w:val="2"/>
      <w:sz w:val="24"/>
      <w:szCs w:val="24"/>
    </w:rPr>
  </w:style>
  <w:style w:type="character" w:customStyle="1" w:styleId="83">
    <w:name w:val="纯文本 字符"/>
    <w:link w:val="25"/>
    <w:qFormat/>
    <w:uiPriority w:val="0"/>
    <w:rPr>
      <w:rFonts w:ascii="宋体" w:hAnsi="Courier New"/>
    </w:rPr>
  </w:style>
  <w:style w:type="character" w:customStyle="1" w:styleId="84">
    <w:name w:val="日期 字符"/>
    <w:link w:val="27"/>
    <w:qFormat/>
    <w:uiPriority w:val="99"/>
    <w:rPr>
      <w:rFonts w:ascii="仿宋_GB2312" w:hAnsi="宋体" w:eastAsia="仿宋_GB2312"/>
      <w:color w:val="000000"/>
      <w:kern w:val="2"/>
      <w:sz w:val="24"/>
      <w:szCs w:val="24"/>
    </w:rPr>
  </w:style>
  <w:style w:type="character" w:customStyle="1" w:styleId="85">
    <w:name w:val="正文文本缩进 2 字符"/>
    <w:link w:val="28"/>
    <w:qFormat/>
    <w:uiPriority w:val="0"/>
    <w:rPr>
      <w:rFonts w:ascii="仿宋_GB2312" w:eastAsia="仿宋_GB2312"/>
      <w:kern w:val="2"/>
      <w:sz w:val="24"/>
      <w:szCs w:val="24"/>
    </w:rPr>
  </w:style>
  <w:style w:type="character" w:customStyle="1" w:styleId="86">
    <w:name w:val="批注框文本 字符"/>
    <w:link w:val="29"/>
    <w:qFormat/>
    <w:uiPriority w:val="0"/>
    <w:rPr>
      <w:rFonts w:ascii="Arial Unicode MS" w:hAnsi="Arial Unicode MS" w:eastAsia="Arial Unicode MS" w:cs="Arial Unicode MS"/>
      <w:color w:val="000000"/>
      <w:sz w:val="18"/>
      <w:szCs w:val="18"/>
      <w:lang w:val="zh-TW" w:eastAsia="zh-TW"/>
    </w:rPr>
  </w:style>
  <w:style w:type="character" w:customStyle="1" w:styleId="87">
    <w:name w:val="页脚 字符"/>
    <w:link w:val="30"/>
    <w:qFormat/>
    <w:uiPriority w:val="99"/>
    <w:rPr>
      <w:rFonts w:ascii="宋体" w:hAnsi="宋体" w:eastAsia="宋体" w:cs="宋体"/>
      <w:color w:val="000000"/>
      <w:kern w:val="0"/>
      <w:sz w:val="18"/>
      <w:szCs w:val="18"/>
    </w:rPr>
  </w:style>
  <w:style w:type="character" w:customStyle="1" w:styleId="88">
    <w:name w:val="页眉 字符"/>
    <w:link w:val="31"/>
    <w:qFormat/>
    <w:uiPriority w:val="99"/>
    <w:rPr>
      <w:rFonts w:ascii="Arial Unicode MS" w:hAnsi="Arial Unicode MS" w:eastAsia="Arial Unicode MS" w:cs="Arial Unicode MS"/>
      <w:color w:val="000000"/>
      <w:sz w:val="18"/>
      <w:szCs w:val="18"/>
      <w:lang w:val="zh-TW" w:eastAsia="zh-TW"/>
    </w:rPr>
  </w:style>
  <w:style w:type="character" w:customStyle="1" w:styleId="89">
    <w:name w:val="脚注文本 字符"/>
    <w:link w:val="35"/>
    <w:qFormat/>
    <w:uiPriority w:val="0"/>
    <w:rPr>
      <w:kern w:val="2"/>
      <w:sz w:val="18"/>
      <w:szCs w:val="22"/>
    </w:rPr>
  </w:style>
  <w:style w:type="character" w:customStyle="1" w:styleId="90">
    <w:name w:val="正文文本缩进 3 字符"/>
    <w:link w:val="38"/>
    <w:qFormat/>
    <w:uiPriority w:val="0"/>
    <w:rPr>
      <w:rFonts w:ascii="宋体"/>
      <w:sz w:val="24"/>
    </w:rPr>
  </w:style>
  <w:style w:type="character" w:customStyle="1" w:styleId="91">
    <w:name w:val="正文文本 2 字符"/>
    <w:link w:val="42"/>
    <w:qFormat/>
    <w:uiPriority w:val="0"/>
    <w:rPr>
      <w:kern w:val="2"/>
      <w:sz w:val="21"/>
      <w:szCs w:val="24"/>
    </w:rPr>
  </w:style>
  <w:style w:type="character" w:customStyle="1" w:styleId="92">
    <w:name w:val="标题 字符"/>
    <w:link w:val="47"/>
    <w:qFormat/>
    <w:uiPriority w:val="0"/>
    <w:rPr>
      <w:rFonts w:ascii="Arial" w:hAnsi="Arial" w:eastAsia="Arial"/>
      <w:b/>
      <w:bCs/>
      <w:color w:val="000000"/>
      <w:sz w:val="32"/>
      <w:szCs w:val="32"/>
      <w:lang w:bidi="ar-SA"/>
    </w:rPr>
  </w:style>
  <w:style w:type="character" w:customStyle="1" w:styleId="93">
    <w:name w:val="批注主题 字符"/>
    <w:link w:val="48"/>
    <w:qFormat/>
    <w:uiPriority w:val="0"/>
    <w:rPr>
      <w:b/>
      <w:bCs/>
      <w:kern w:val="2"/>
      <w:sz w:val="21"/>
      <w:szCs w:val="24"/>
    </w:rPr>
  </w:style>
  <w:style w:type="character" w:customStyle="1" w:styleId="94">
    <w:name w:val="正文文本首行缩进 字符"/>
    <w:link w:val="49"/>
    <w:qFormat/>
    <w:uiPriority w:val="0"/>
    <w:rPr>
      <w:rFonts w:eastAsia="楷体_GB2312"/>
      <w:kern w:val="2"/>
      <w:sz w:val="32"/>
      <w:szCs w:val="24"/>
    </w:rPr>
  </w:style>
  <w:style w:type="character" w:customStyle="1" w:styleId="95">
    <w:name w:val="正文文本首行缩进 2 字符"/>
    <w:link w:val="50"/>
    <w:qFormat/>
    <w:uiPriority w:val="99"/>
    <w:rPr>
      <w:rFonts w:ascii="Cambria" w:hAnsi="Cambria"/>
      <w:kern w:val="2"/>
      <w:sz w:val="21"/>
      <w:szCs w:val="24"/>
    </w:rPr>
  </w:style>
  <w:style w:type="paragraph" w:customStyle="1" w:styleId="96">
    <w:name w:val="AONormal"/>
    <w:qFormat/>
    <w:uiPriority w:val="0"/>
    <w:pPr>
      <w:autoSpaceDE w:val="0"/>
      <w:autoSpaceDN w:val="0"/>
      <w:adjustRightInd w:val="0"/>
      <w:spacing w:after="160" w:line="400" w:lineRule="exact"/>
      <w:ind w:firstLine="440" w:firstLineChars="200"/>
    </w:pPr>
    <w:rPr>
      <w:rFonts w:ascii="华文楷体" w:hAnsi="华文楷体" w:eastAsia="华文楷体" w:cs="华文楷体"/>
      <w:sz w:val="22"/>
      <w:szCs w:val="21"/>
      <w:lang w:val="en-US" w:eastAsia="zh-CN" w:bidi="ar-SA"/>
    </w:rPr>
  </w:style>
  <w:style w:type="character" w:customStyle="1" w:styleId="97">
    <w:name w:val="*正文 Char"/>
    <w:link w:val="98"/>
    <w:qFormat/>
    <w:uiPriority w:val="0"/>
    <w:rPr>
      <w:rFonts w:ascii="宋体" w:hAnsi="宋体"/>
      <w:sz w:val="22"/>
      <w:szCs w:val="24"/>
    </w:rPr>
  </w:style>
  <w:style w:type="paragraph" w:customStyle="1" w:styleId="98">
    <w:name w:val="*正文"/>
    <w:basedOn w:val="1"/>
    <w:link w:val="97"/>
    <w:qFormat/>
    <w:uiPriority w:val="0"/>
    <w:pPr>
      <w:widowControl w:val="0"/>
      <w:spacing w:line="360" w:lineRule="auto"/>
      <w:ind w:firstLine="200" w:firstLineChars="200"/>
    </w:pPr>
    <w:rPr>
      <w:rFonts w:hint="default" w:ascii="宋体" w:hAnsi="宋体" w:eastAsia="宋体" w:cs="Times New Roman"/>
      <w:color w:val="auto"/>
      <w:kern w:val="0"/>
      <w:sz w:val="22"/>
      <w:szCs w:val="24"/>
    </w:rPr>
  </w:style>
  <w:style w:type="character" w:customStyle="1" w:styleId="99">
    <w:name w:val="正文文本 2 Char1"/>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0">
    <w:name w:val="font51"/>
    <w:qFormat/>
    <w:uiPriority w:val="0"/>
    <w:rPr>
      <w:rFonts w:hint="eastAsia" w:ascii="微软雅黑 Light" w:hAnsi="微软雅黑 Light" w:eastAsia="微软雅黑 Light" w:cs="微软雅黑 Light"/>
      <w:color w:val="FF0000"/>
      <w:sz w:val="20"/>
      <w:szCs w:val="20"/>
      <w:u w:val="none"/>
    </w:rPr>
  </w:style>
  <w:style w:type="character" w:customStyle="1" w:styleId="101">
    <w:name w:val="正文文本缩进 3 Char1"/>
    <w:semiHidden/>
    <w:qFormat/>
    <w:uiPriority w:val="99"/>
    <w:rPr>
      <w:rFonts w:ascii="Times New Roman" w:hAnsi="Times New Roman" w:eastAsia="宋体" w:cs="Times New Roman"/>
      <w:sz w:val="16"/>
      <w:szCs w:val="16"/>
    </w:rPr>
  </w:style>
  <w:style w:type="character" w:customStyle="1" w:styleId="102">
    <w:name w:val="批注主题 Char2"/>
    <w:semiHidden/>
    <w:qFormat/>
    <w:uiPriority w:val="99"/>
    <w:rPr>
      <w:rFonts w:ascii="Arial Unicode MS" w:hAnsi="Arial Unicode MS" w:eastAsia="Arial Unicode MS" w:cs="Arial Unicode MS"/>
      <w:b/>
      <w:bCs/>
      <w:color w:val="000000"/>
      <w:kern w:val="2"/>
      <w:sz w:val="21"/>
      <w:szCs w:val="21"/>
      <w:lang w:val="zh-TW" w:eastAsia="zh-TW"/>
    </w:rPr>
  </w:style>
  <w:style w:type="character" w:customStyle="1" w:styleId="103">
    <w:name w:val="fontstyle21"/>
    <w:qFormat/>
    <w:uiPriority w:val="0"/>
    <w:rPr>
      <w:rFonts w:hint="eastAsia" w:ascii="宋体" w:hAnsi="宋体" w:eastAsia="宋体"/>
      <w:color w:val="000000"/>
      <w:sz w:val="24"/>
      <w:szCs w:val="24"/>
    </w:rPr>
  </w:style>
  <w:style w:type="character" w:customStyle="1" w:styleId="104">
    <w:name w:val="正文文本缩进 2 Char1"/>
    <w:semiHidden/>
    <w:qFormat/>
    <w:uiPriority w:val="99"/>
    <w:rPr>
      <w:rFonts w:ascii="Times New Roman" w:hAnsi="Times New Roman" w:eastAsia="宋体" w:cs="Times New Roman"/>
      <w:szCs w:val="24"/>
    </w:rPr>
  </w:style>
  <w:style w:type="character" w:customStyle="1" w:styleId="105">
    <w:name w:val="批注文字 Char1"/>
    <w:semiHidden/>
    <w:qFormat/>
    <w:uiPriority w:val="99"/>
    <w:rPr>
      <w:kern w:val="2"/>
      <w:sz w:val="21"/>
      <w:szCs w:val="24"/>
    </w:rPr>
  </w:style>
  <w:style w:type="character" w:customStyle="1" w:styleId="106">
    <w:name w:val="wen11"/>
    <w:qFormat/>
    <w:uiPriority w:val="0"/>
    <w:rPr>
      <w:color w:val="000000"/>
      <w:sz w:val="21"/>
      <w:szCs w:val="21"/>
    </w:rPr>
  </w:style>
  <w:style w:type="character" w:customStyle="1" w:styleId="107">
    <w:name w:val="font41"/>
    <w:qFormat/>
    <w:uiPriority w:val="0"/>
    <w:rPr>
      <w:rFonts w:hint="eastAsia" w:ascii="微软雅黑 Light" w:hAnsi="微软雅黑 Light" w:eastAsia="微软雅黑 Light" w:cs="微软雅黑 Light"/>
      <w:color w:val="FF0000"/>
      <w:sz w:val="20"/>
      <w:szCs w:val="20"/>
      <w:u w:val="none"/>
    </w:rPr>
  </w:style>
  <w:style w:type="character" w:customStyle="1" w:styleId="108">
    <w:name w:val="标题 Char2"/>
    <w:qFormat/>
    <w:uiPriority w:val="10"/>
    <w:rPr>
      <w:rFonts w:ascii="Cambria" w:hAnsi="Cambria" w:cs="Times New Roman"/>
      <w:b/>
      <w:bCs/>
      <w:kern w:val="2"/>
      <w:sz w:val="32"/>
      <w:szCs w:val="32"/>
    </w:rPr>
  </w:style>
  <w:style w:type="character" w:customStyle="1" w:styleId="109">
    <w:name w:val="font61"/>
    <w:qFormat/>
    <w:uiPriority w:val="0"/>
    <w:rPr>
      <w:rFonts w:hint="eastAsia" w:ascii="宋体" w:hAnsi="宋体" w:eastAsia="宋体" w:cs="宋体"/>
      <w:color w:val="auto"/>
      <w:sz w:val="20"/>
      <w:szCs w:val="20"/>
      <w:u w:val="none"/>
    </w:rPr>
  </w:style>
  <w:style w:type="character" w:customStyle="1" w:styleId="110">
    <w:name w:val="正文文本 3 Char1"/>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1">
    <w:name w:val="p141"/>
    <w:qFormat/>
    <w:uiPriority w:val="99"/>
    <w:rPr>
      <w:sz w:val="21"/>
      <w:szCs w:val="21"/>
    </w:rPr>
  </w:style>
  <w:style w:type="character" w:customStyle="1" w:styleId="112">
    <w:name w:val="正文文本缩进 3 Char2"/>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3">
    <w:name w:val="批注主题 Char1"/>
    <w:semiHidden/>
    <w:qFormat/>
    <w:uiPriority w:val="99"/>
    <w:rPr>
      <w:b/>
      <w:bCs/>
      <w:kern w:val="2"/>
      <w:sz w:val="21"/>
      <w:szCs w:val="24"/>
    </w:rPr>
  </w:style>
  <w:style w:type="character" w:customStyle="1" w:styleId="114">
    <w:name w:val="p12h15"/>
    <w:qFormat/>
    <w:uiPriority w:val="0"/>
  </w:style>
  <w:style w:type="character" w:customStyle="1" w:styleId="115">
    <w:name w:val="unnamed11"/>
    <w:qFormat/>
    <w:uiPriority w:val="0"/>
    <w:rPr>
      <w:rFonts w:hint="default" w:ascii="Arial" w:hAnsi="Arial" w:cs="Arial"/>
      <w:color w:val="000000"/>
      <w:sz w:val="18"/>
      <w:szCs w:val="18"/>
      <w:u w:val="none"/>
    </w:rPr>
  </w:style>
  <w:style w:type="character" w:customStyle="1" w:styleId="116">
    <w:name w:val="批注框文本 Char2"/>
    <w:semiHidden/>
    <w:qFormat/>
    <w:uiPriority w:val="99"/>
    <w:rPr>
      <w:kern w:val="2"/>
      <w:sz w:val="18"/>
      <w:szCs w:val="18"/>
    </w:rPr>
  </w:style>
  <w:style w:type="character" w:customStyle="1" w:styleId="117">
    <w:name w:val="页脚 Char1"/>
    <w:semiHidden/>
    <w:qFormat/>
    <w:uiPriority w:val="99"/>
    <w:rPr>
      <w:kern w:val="2"/>
      <w:sz w:val="18"/>
      <w:szCs w:val="18"/>
    </w:rPr>
  </w:style>
  <w:style w:type="character" w:customStyle="1" w:styleId="118">
    <w:name w:val="正文文本缩进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19">
    <w:name w:val="正文首行缩进 2 Char1"/>
    <w:semiHidden/>
    <w:qFormat/>
    <w:uiPriority w:val="99"/>
    <w:rPr>
      <w:lang w:val="zh-TW" w:eastAsia="zh-TW"/>
    </w:rPr>
  </w:style>
  <w:style w:type="character" w:customStyle="1" w:styleId="120">
    <w:name w:val="正文文本缩进 Char1"/>
    <w:semiHidden/>
    <w:qFormat/>
    <w:uiPriority w:val="99"/>
    <w:rPr>
      <w:rFonts w:ascii="Times New Roman" w:hAnsi="Times New Roman" w:eastAsia="宋体" w:cs="Times New Roman"/>
      <w:szCs w:val="24"/>
    </w:rPr>
  </w:style>
  <w:style w:type="character" w:customStyle="1" w:styleId="121">
    <w:name w:val="日期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2">
    <w:name w:val="正文首行缩进 Char1"/>
    <w:semiHidden/>
    <w:qFormat/>
    <w:uiPriority w:val="99"/>
    <w:rPr>
      <w:lang w:val="zh-TW" w:eastAsia="zh-TW"/>
    </w:rPr>
  </w:style>
  <w:style w:type="character" w:customStyle="1" w:styleId="123">
    <w:name w:val="批注框文本 Char1"/>
    <w:semiHidden/>
    <w:qFormat/>
    <w:uiPriority w:val="99"/>
    <w:rPr>
      <w:kern w:val="2"/>
      <w:sz w:val="18"/>
      <w:szCs w:val="18"/>
    </w:rPr>
  </w:style>
  <w:style w:type="character" w:customStyle="1" w:styleId="124">
    <w:name w:val="脚注文本 Char1"/>
    <w:semiHidden/>
    <w:qFormat/>
    <w:uiPriority w:val="99"/>
    <w:rPr>
      <w:rFonts w:ascii="Times New Roman" w:hAnsi="Times New Roman" w:eastAsia="宋体" w:cs="Times New Roman"/>
      <w:sz w:val="18"/>
      <w:szCs w:val="18"/>
    </w:rPr>
  </w:style>
  <w:style w:type="character" w:customStyle="1" w:styleId="125">
    <w:name w:val="页眉 Char2"/>
    <w:semiHidden/>
    <w:qFormat/>
    <w:uiPriority w:val="99"/>
    <w:rPr>
      <w:kern w:val="2"/>
      <w:sz w:val="18"/>
      <w:szCs w:val="18"/>
    </w:rPr>
  </w:style>
  <w:style w:type="character" w:customStyle="1" w:styleId="126">
    <w:name w:val="页眉 Char1"/>
    <w:semiHidden/>
    <w:qFormat/>
    <w:uiPriority w:val="99"/>
    <w:rPr>
      <w:kern w:val="2"/>
      <w:sz w:val="18"/>
      <w:szCs w:val="18"/>
    </w:rPr>
  </w:style>
  <w:style w:type="character" w:customStyle="1" w:styleId="127">
    <w:name w:val="NormalCharacter"/>
    <w:qFormat/>
    <w:uiPriority w:val="0"/>
    <w:rPr>
      <w:kern w:val="2"/>
      <w:sz w:val="21"/>
      <w:szCs w:val="24"/>
      <w:lang w:val="en-US" w:eastAsia="zh-CN" w:bidi="ar-SA"/>
    </w:rPr>
  </w:style>
  <w:style w:type="character" w:customStyle="1" w:styleId="128">
    <w:name w:val="正文文本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9">
    <w:name w:val="dash6b63_6587__char1"/>
    <w:qFormat/>
    <w:uiPriority w:val="0"/>
    <w:rPr>
      <w:rFonts w:hint="default" w:ascii="Calibri" w:hAnsi="Calibri" w:cs="Calibri"/>
      <w:sz w:val="20"/>
      <w:szCs w:val="20"/>
    </w:rPr>
  </w:style>
  <w:style w:type="character" w:customStyle="1" w:styleId="130">
    <w:name w:val="日期 Char1"/>
    <w:semiHidden/>
    <w:qFormat/>
    <w:uiPriority w:val="99"/>
    <w:rPr>
      <w:rFonts w:ascii="Times New Roman" w:hAnsi="Times New Roman" w:eastAsia="宋体" w:cs="Times New Roman"/>
      <w:szCs w:val="24"/>
    </w:rPr>
  </w:style>
  <w:style w:type="character" w:customStyle="1" w:styleId="131">
    <w:name w:val="批注文字 Char2"/>
    <w:semiHidden/>
    <w:qFormat/>
    <w:uiPriority w:val="99"/>
    <w:rPr>
      <w:kern w:val="2"/>
      <w:sz w:val="21"/>
      <w:szCs w:val="24"/>
    </w:rPr>
  </w:style>
  <w:style w:type="character" w:customStyle="1" w:styleId="132">
    <w:name w:val="正文文本缩进 2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3">
    <w:name w:val="标题 Char1"/>
    <w:qFormat/>
    <w:uiPriority w:val="10"/>
    <w:rPr>
      <w:rFonts w:ascii="Cambria" w:hAnsi="Cambria" w:eastAsia="宋体" w:cs="Times New Roman"/>
      <w:b/>
      <w:bCs/>
      <w:sz w:val="32"/>
      <w:szCs w:val="32"/>
    </w:rPr>
  </w:style>
  <w:style w:type="character" w:customStyle="1" w:styleId="134">
    <w:name w:val="正文文本 字符"/>
    <w:qFormat/>
    <w:uiPriority w:val="0"/>
    <w:rPr>
      <w:rFonts w:ascii="宋体" w:hAnsi="宋体"/>
      <w:kern w:val="2"/>
      <w:sz w:val="24"/>
      <w:szCs w:val="24"/>
    </w:rPr>
  </w:style>
  <w:style w:type="character" w:customStyle="1" w:styleId="135">
    <w:name w:val="fontstyle11"/>
    <w:qFormat/>
    <w:uiPriority w:val="0"/>
    <w:rPr>
      <w:rFonts w:hint="default" w:ascii="Times New Roman" w:hAnsi="Times New Roman" w:cs="Times New Roman"/>
      <w:color w:val="000000"/>
      <w:sz w:val="18"/>
      <w:szCs w:val="18"/>
    </w:rPr>
  </w:style>
  <w:style w:type="character" w:customStyle="1" w:styleId="136">
    <w:name w:val="apple-converted-space"/>
    <w:qFormat/>
    <w:uiPriority w:val="0"/>
  </w:style>
  <w:style w:type="character" w:customStyle="1" w:styleId="137">
    <w:name w:val="_Style 233"/>
    <w:unhideWhenUsed/>
    <w:qFormat/>
    <w:uiPriority w:val="99"/>
    <w:rPr>
      <w:color w:val="605E5C"/>
      <w:shd w:val="clear" w:color="auto" w:fill="E1DFDD"/>
    </w:rPr>
  </w:style>
  <w:style w:type="character" w:customStyle="1" w:styleId="138">
    <w:name w:val="Char Char2"/>
    <w:qFormat/>
    <w:uiPriority w:val="0"/>
    <w:rPr>
      <w:rFonts w:ascii="宋体" w:hAnsi="Courier New" w:eastAsia="宋体" w:cs="Courier New"/>
      <w:kern w:val="2"/>
      <w:sz w:val="21"/>
      <w:szCs w:val="21"/>
      <w:lang w:val="en-US" w:eastAsia="zh-CN" w:bidi="ar-SA"/>
    </w:rPr>
  </w:style>
  <w:style w:type="character" w:customStyle="1" w:styleId="139">
    <w:name w:val="纯文本 Char2"/>
    <w:semiHidden/>
    <w:qFormat/>
    <w:uiPriority w:val="99"/>
    <w:rPr>
      <w:rFonts w:ascii="宋体" w:hAnsi="Courier New" w:eastAsia="宋体" w:cs="Courier New"/>
      <w:szCs w:val="21"/>
    </w:rPr>
  </w:style>
  <w:style w:type="character" w:customStyle="1" w:styleId="140">
    <w:name w:val="font21"/>
    <w:qFormat/>
    <w:uiPriority w:val="0"/>
    <w:rPr>
      <w:rFonts w:hint="eastAsia" w:ascii="微软雅黑 Light" w:hAnsi="微软雅黑 Light" w:eastAsia="微软雅黑 Light" w:cs="微软雅黑 Light"/>
      <w:color w:val="000000"/>
      <w:sz w:val="20"/>
      <w:szCs w:val="20"/>
      <w:u w:val="none"/>
    </w:rPr>
  </w:style>
  <w:style w:type="character" w:customStyle="1" w:styleId="141">
    <w:name w:val="纯文本 Char3"/>
    <w:semiHidden/>
    <w:qFormat/>
    <w:uiPriority w:val="99"/>
    <w:rPr>
      <w:rFonts w:ascii="宋体" w:hAnsi="Courier New" w:cs="Courier New"/>
      <w:kern w:val="2"/>
      <w:sz w:val="21"/>
      <w:szCs w:val="21"/>
    </w:rPr>
  </w:style>
  <w:style w:type="character" w:customStyle="1" w:styleId="142">
    <w:name w:val="纯文本 Char"/>
    <w:qFormat/>
    <w:uiPriority w:val="0"/>
    <w:rPr>
      <w:rFonts w:ascii="宋体" w:hAnsi="Courier New" w:cs="Courier New"/>
      <w:color w:val="000000"/>
      <w:kern w:val="2"/>
      <w:sz w:val="21"/>
      <w:szCs w:val="21"/>
      <w:lang w:val="zh-TW" w:eastAsia="zh-TW"/>
    </w:rPr>
  </w:style>
  <w:style w:type="character" w:customStyle="1" w:styleId="143">
    <w:name w:val="pt91"/>
    <w:qFormat/>
    <w:uiPriority w:val="0"/>
    <w:rPr>
      <w:rFonts w:hint="default"/>
      <w:color w:val="333333"/>
      <w:sz w:val="18"/>
      <w:szCs w:val="18"/>
    </w:rPr>
  </w:style>
  <w:style w:type="character" w:customStyle="1" w:styleId="144">
    <w:name w:val="正文缩进 Char1"/>
    <w:link w:val="145"/>
    <w:qFormat/>
    <w:uiPriority w:val="0"/>
    <w:rPr>
      <w:rFonts w:ascii="宋体"/>
      <w:sz w:val="24"/>
    </w:rPr>
  </w:style>
  <w:style w:type="paragraph" w:customStyle="1" w:styleId="145">
    <w:name w:val="正文缩进1"/>
    <w:basedOn w:val="1"/>
    <w:link w:val="144"/>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character" w:customStyle="1" w:styleId="146">
    <w:name w:val="_Style 129"/>
    <w:unhideWhenUsed/>
    <w:qFormat/>
    <w:uiPriority w:val="99"/>
    <w:rPr>
      <w:color w:val="605E5C"/>
      <w:shd w:val="clear" w:color="auto" w:fill="E1DFDD"/>
    </w:rPr>
  </w:style>
  <w:style w:type="character" w:customStyle="1" w:styleId="147">
    <w:name w:val="脚注文本 Char2"/>
    <w:semiHidden/>
    <w:qFormat/>
    <w:uiPriority w:val="99"/>
    <w:rPr>
      <w:rFonts w:ascii="Arial Unicode MS" w:hAnsi="Arial Unicode MS" w:eastAsia="Arial Unicode MS" w:cs="Arial Unicode MS"/>
      <w:color w:val="000000"/>
      <w:kern w:val="2"/>
      <w:sz w:val="18"/>
      <w:szCs w:val="18"/>
      <w:lang w:val="zh-TW" w:eastAsia="zh-TW"/>
    </w:rPr>
  </w:style>
  <w:style w:type="character" w:customStyle="1" w:styleId="148">
    <w:name w:val="font31"/>
    <w:qFormat/>
    <w:uiPriority w:val="0"/>
    <w:rPr>
      <w:rFonts w:hint="eastAsia" w:ascii="黑体" w:hAnsi="宋体" w:eastAsia="黑体" w:cs="黑体"/>
      <w:color w:val="000000"/>
      <w:sz w:val="20"/>
      <w:szCs w:val="20"/>
      <w:u w:val="none"/>
    </w:rPr>
  </w:style>
  <w:style w:type="character" w:customStyle="1" w:styleId="149">
    <w:name w:val="正文文本 Char1"/>
    <w:semiHidden/>
    <w:qFormat/>
    <w:uiPriority w:val="99"/>
    <w:rPr>
      <w:rFonts w:ascii="Times New Roman" w:hAnsi="Times New Roman" w:eastAsia="宋体" w:cs="Times New Roman"/>
      <w:szCs w:val="24"/>
    </w:rPr>
  </w:style>
  <w:style w:type="character" w:customStyle="1" w:styleId="150">
    <w:name w:val="fontstyle01"/>
    <w:qFormat/>
    <w:uiPriority w:val="0"/>
    <w:rPr>
      <w:rFonts w:hint="default" w:ascii="Times New Roman" w:hAnsi="Times New Roman" w:cs="Times New Roman"/>
      <w:color w:val="000000"/>
      <w:sz w:val="24"/>
      <w:szCs w:val="24"/>
    </w:rPr>
  </w:style>
  <w:style w:type="paragraph" w:customStyle="1" w:styleId="151">
    <w:name w:val="修订3"/>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52">
    <w:name w:val="样式 宋体 五号 行距: 单倍行距"/>
    <w:basedOn w:val="1"/>
    <w:qFormat/>
    <w:uiPriority w:val="0"/>
    <w:pPr>
      <w:widowControl w:val="0"/>
    </w:pPr>
    <w:rPr>
      <w:rFonts w:hint="default" w:ascii="宋体" w:hAnsi="宋体" w:eastAsia="仿宋_GB2312" w:cs="Times New Roman"/>
      <w:color w:val="auto"/>
      <w:szCs w:val="32"/>
      <w:lang w:val="en-US" w:eastAsia="zh-CN"/>
    </w:rPr>
  </w:style>
  <w:style w:type="paragraph" w:customStyle="1" w:styleId="153">
    <w:name w:val="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154">
    <w:name w:val="xl44"/>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55">
    <w:name w:val="目录 53"/>
    <w:next w:val="1"/>
    <w:qFormat/>
    <w:uiPriority w:val="0"/>
    <w:pPr>
      <w:wordWrap w:val="0"/>
      <w:spacing w:after="160" w:line="278" w:lineRule="auto"/>
      <w:ind w:left="1275"/>
      <w:jc w:val="both"/>
    </w:pPr>
    <w:rPr>
      <w:rFonts w:ascii="Times New Roman" w:hAnsi="Times New Roman" w:eastAsia="宋体" w:cs="Times New Roman"/>
      <w:sz w:val="21"/>
      <w:lang w:val="en-US" w:eastAsia="zh-CN" w:bidi="ar-SA"/>
    </w:rPr>
  </w:style>
  <w:style w:type="paragraph" w:customStyle="1" w:styleId="156">
    <w:name w:val="TOC3"/>
    <w:next w:val="1"/>
    <w:qFormat/>
    <w:uiPriority w:val="0"/>
    <w:pPr>
      <w:tabs>
        <w:tab w:val="left" w:pos="1260"/>
        <w:tab w:val="right" w:leader="dot" w:pos="8630"/>
      </w:tabs>
      <w:spacing w:after="160" w:line="278" w:lineRule="auto"/>
      <w:ind w:left="840"/>
      <w:jc w:val="both"/>
    </w:pPr>
    <w:rPr>
      <w:rFonts w:ascii="Times New Roman" w:hAnsi="Times New Roman" w:eastAsia="Arial Unicode MS" w:cs="Arial Unicode MS"/>
      <w:color w:val="000000"/>
      <w:kern w:val="2"/>
      <w:sz w:val="21"/>
      <w:szCs w:val="21"/>
      <w:lang w:val="en-US" w:eastAsia="zh-CN" w:bidi="ar-SA"/>
    </w:rPr>
  </w:style>
  <w:style w:type="paragraph" w:customStyle="1" w:styleId="157">
    <w:name w:val="小标题 2"/>
    <w:next w:val="158"/>
    <w:qFormat/>
    <w:uiPriority w:val="0"/>
    <w:pPr>
      <w:keepNext/>
      <w:keepLines/>
      <w:spacing w:before="120" w:after="160" w:line="300" w:lineRule="auto"/>
      <w:jc w:val="center"/>
    </w:pPr>
    <w:rPr>
      <w:rFonts w:hint="eastAsia" w:ascii="Arial Unicode MS" w:hAnsi="Arial Unicode MS" w:eastAsia="Arial Unicode MS" w:cs="Arial Unicode MS"/>
      <w:b/>
      <w:bCs/>
      <w:color w:val="000000"/>
      <w:sz w:val="30"/>
      <w:szCs w:val="30"/>
      <w:lang w:val="zh-TW" w:eastAsia="zh-TW" w:bidi="ar-SA"/>
    </w:rPr>
  </w:style>
  <w:style w:type="paragraph" w:customStyle="1" w:styleId="158">
    <w:name w:val="NormalIndent"/>
    <w:qFormat/>
    <w:uiPriority w:val="0"/>
    <w:pPr>
      <w:spacing w:after="160" w:line="360" w:lineRule="auto"/>
      <w:ind w:firstLine="480"/>
    </w:pPr>
    <w:rPr>
      <w:rFonts w:hint="eastAsia" w:ascii="Arial Unicode MS" w:hAnsi="Arial Unicode MS" w:eastAsia="Arial Unicode MS" w:cs="Arial Unicode MS"/>
      <w:color w:val="000000"/>
      <w:kern w:val="2"/>
      <w:sz w:val="24"/>
      <w:szCs w:val="24"/>
      <w:shd w:val="clear" w:color="auto" w:fill="00FF00"/>
      <w:lang w:val="zh-TW" w:eastAsia="zh-TW" w:bidi="ar-SA"/>
    </w:rPr>
  </w:style>
  <w:style w:type="paragraph" w:customStyle="1" w:styleId="159">
    <w:name w:val="xl32"/>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0">
    <w:name w:val="UserStyle_92"/>
    <w:qFormat/>
    <w:uiPriority w:val="0"/>
    <w:pPr>
      <w:spacing w:after="160" w:line="360" w:lineRule="auto"/>
      <w:ind w:firstLine="200"/>
      <w:jc w:val="both"/>
    </w:pPr>
    <w:rPr>
      <w:rFonts w:ascii="宋体" w:hAnsi="宋体" w:eastAsia="宋体" w:cs="宋体"/>
      <w:color w:val="000000"/>
      <w:sz w:val="22"/>
      <w:szCs w:val="22"/>
      <w:lang w:val="en-US" w:eastAsia="zh-CN" w:bidi="ar-SA"/>
    </w:rPr>
  </w:style>
  <w:style w:type="paragraph" w:customStyle="1" w:styleId="161">
    <w:name w:val="正文_3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162">
    <w:name w:val="xl3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63">
    <w:name w:val="TOC4"/>
    <w:next w:val="1"/>
    <w:qFormat/>
    <w:uiPriority w:val="0"/>
    <w:pPr>
      <w:spacing w:after="160" w:line="278" w:lineRule="auto"/>
      <w:ind w:left="1260"/>
      <w:jc w:val="both"/>
    </w:pPr>
    <w:rPr>
      <w:rFonts w:ascii="Times New Roman" w:hAnsi="Times New Roman" w:eastAsia="Arial Unicode MS" w:cs="Arial Unicode MS"/>
      <w:color w:val="000000"/>
      <w:kern w:val="2"/>
      <w:sz w:val="21"/>
      <w:szCs w:val="21"/>
      <w:lang w:val="en-US" w:eastAsia="zh-CN" w:bidi="ar-SA"/>
    </w:rPr>
  </w:style>
  <w:style w:type="paragraph" w:customStyle="1" w:styleId="164">
    <w:name w:val="WPSOffice手动目录 2"/>
    <w:qFormat/>
    <w:uiPriority w:val="0"/>
    <w:pPr>
      <w:spacing w:after="160" w:line="278" w:lineRule="auto"/>
      <w:ind w:left="200" w:leftChars="200"/>
    </w:pPr>
    <w:rPr>
      <w:rFonts w:ascii="Times New Roman" w:hAnsi="Times New Roman" w:eastAsia="宋体" w:cs="Times New Roman"/>
      <w:lang w:val="en-US" w:eastAsia="zh-CN" w:bidi="ar-SA"/>
    </w:rPr>
  </w:style>
  <w:style w:type="paragraph" w:customStyle="1" w:styleId="165">
    <w:name w:val="修订1"/>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66">
    <w:name w:val="_Style 13"/>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67">
    <w:name w:val="TOC2"/>
    <w:next w:val="1"/>
    <w:qFormat/>
    <w:uiPriority w:val="0"/>
    <w:pPr>
      <w:spacing w:after="160" w:line="278" w:lineRule="auto"/>
      <w:ind w:left="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68">
    <w:name w:val="样式 10 磅"/>
    <w:qFormat/>
    <w:uiPriority w:val="0"/>
    <w:pPr>
      <w:widowControl w:val="0"/>
      <w:spacing w:after="160" w:line="278" w:lineRule="auto"/>
      <w:jc w:val="both"/>
    </w:pPr>
    <w:rPr>
      <w:rFonts w:ascii="Calibri" w:hAnsi="Calibri" w:eastAsia="宋体" w:cs="Times New Roman"/>
      <w:kern w:val="2"/>
      <w:sz w:val="21"/>
      <w:szCs w:val="24"/>
      <w:lang w:val="en-US" w:eastAsia="zh-CN" w:bidi="ar-SA"/>
    </w:rPr>
  </w:style>
  <w:style w:type="paragraph" w:customStyle="1" w:styleId="169">
    <w:name w:val="xl30"/>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0">
    <w:name w:val="Blockquote"/>
    <w:basedOn w:val="1"/>
    <w:qFormat/>
    <w:uiPriority w:val="0"/>
    <w:pPr>
      <w:widowControl w:val="0"/>
      <w:autoSpaceDE w:val="0"/>
      <w:autoSpaceDN w:val="0"/>
      <w:adjustRightInd w:val="0"/>
      <w:spacing w:before="100" w:after="100"/>
      <w:ind w:left="360" w:right="360"/>
      <w:jc w:val="left"/>
    </w:pPr>
    <w:rPr>
      <w:rFonts w:hint="default" w:ascii="Times New Roman" w:hAnsi="Times New Roman" w:eastAsia="宋体" w:cs="Times New Roman"/>
      <w:color w:val="auto"/>
      <w:kern w:val="0"/>
      <w:sz w:val="24"/>
      <w:szCs w:val="20"/>
      <w:lang w:val="en-US" w:eastAsia="zh-CN"/>
    </w:rPr>
  </w:style>
  <w:style w:type="paragraph" w:customStyle="1" w:styleId="171">
    <w:name w:val="xl39"/>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72">
    <w:name w:val="_Style 234"/>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73">
    <w:name w:val="xl33"/>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74">
    <w:name w:val="列出段落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75">
    <w:name w:val="Char"/>
    <w:basedOn w:val="1"/>
    <w:qFormat/>
    <w:uiPriority w:val="0"/>
    <w:pPr>
      <w:widowControl w:val="0"/>
      <w:tabs>
        <w:tab w:val="left" w:pos="360"/>
      </w:tabs>
    </w:pPr>
    <w:rPr>
      <w:rFonts w:hint="default" w:ascii="Times New Roman" w:hAnsi="Times New Roman" w:eastAsia="宋体" w:cs="Times New Roman"/>
      <w:color w:val="auto"/>
      <w:sz w:val="24"/>
      <w:szCs w:val="24"/>
      <w:lang w:val="en-US" w:eastAsia="zh-CN"/>
    </w:rPr>
  </w:style>
  <w:style w:type="paragraph" w:customStyle="1" w:styleId="176">
    <w:name w:val="_Style 232"/>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77">
    <w:name w:val="font6"/>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78">
    <w:name w:val="列出段落11"/>
    <w:basedOn w:val="1"/>
    <w:qFormat/>
    <w:uiPriority w:val="0"/>
    <w:pPr>
      <w:ind w:firstLine="420" w:firstLineChars="200"/>
      <w:jc w:val="left"/>
    </w:pPr>
    <w:rPr>
      <w:rFonts w:hint="default" w:ascii="仿宋_GB2312" w:hAnsi="Times New Roman" w:eastAsia="仿宋_GB2312" w:cs="Times New Roman"/>
      <w:color w:val="auto"/>
      <w:kern w:val="0"/>
      <w:sz w:val="24"/>
      <w:szCs w:val="32"/>
      <w:lang w:val="en-US" w:eastAsia="zh-CN"/>
    </w:rPr>
  </w:style>
  <w:style w:type="paragraph" w:customStyle="1" w:styleId="179">
    <w:name w:val="UserStyle_161"/>
    <w:qFormat/>
    <w:uiPriority w:val="0"/>
    <w:pPr>
      <w:spacing w:after="160" w:line="278" w:lineRule="auto"/>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80">
    <w:name w:val="shsj2em2"/>
    <w:basedOn w:val="1"/>
    <w:qFormat/>
    <w:uiPriority w:val="0"/>
    <w:pPr>
      <w:spacing w:line="600" w:lineRule="atLeast"/>
      <w:ind w:firstLine="480"/>
      <w:jc w:val="left"/>
    </w:pPr>
    <w:rPr>
      <w:rFonts w:hint="default" w:ascii="微软雅黑" w:hAnsi="微软雅黑" w:eastAsia="微软雅黑" w:cs="宋体"/>
      <w:kern w:val="0"/>
      <w:lang w:val="en-US" w:eastAsia="zh-CN"/>
    </w:rPr>
  </w:style>
  <w:style w:type="paragraph" w:customStyle="1" w:styleId="181">
    <w:name w:val="_Style 197"/>
    <w:basedOn w:val="2"/>
    <w:next w:val="1"/>
    <w:qFormat/>
    <w:uiPriority w:val="39"/>
    <w:pPr>
      <w:spacing w:before="480" w:after="0" w:line="276" w:lineRule="auto"/>
      <w:jc w:val="left"/>
      <w:outlineLvl w:val="9"/>
    </w:pPr>
    <w:rPr>
      <w:rFonts w:ascii="Cambria" w:hAnsi="Cambria" w:eastAsia="宋体"/>
      <w:color w:val="365F91"/>
      <w:kern w:val="0"/>
      <w:sz w:val="28"/>
      <w:szCs w:val="28"/>
      <w:lang w:val="en-US" w:eastAsia="zh-CN"/>
    </w:rPr>
  </w:style>
  <w:style w:type="paragraph" w:customStyle="1" w:styleId="182">
    <w:name w:val="font7"/>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83">
    <w:name w:val="xl47"/>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84">
    <w:name w:val="xl24"/>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185">
    <w:name w:val="xl31"/>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86">
    <w:name w:val="xl51"/>
    <w:basedOn w:val="1"/>
    <w:qFormat/>
    <w:uiPriority w:val="0"/>
    <w:pPr>
      <w:pBdr>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87">
    <w:name w:val="默认"/>
    <w:qFormat/>
    <w:uiPriority w:val="0"/>
    <w:pPr>
      <w:spacing w:before="160" w:after="160" w:line="278" w:lineRule="auto"/>
    </w:pPr>
    <w:rPr>
      <w:rFonts w:ascii="Helvetica Neue" w:hAnsi="Helvetica Neue" w:eastAsia="Helvetica Neue" w:cs="Helvetica Neue"/>
      <w:color w:val="000000"/>
      <w:sz w:val="24"/>
      <w:szCs w:val="24"/>
      <w:lang w:val="en-US" w:eastAsia="zh-CN" w:bidi="ar-SA"/>
    </w:rPr>
  </w:style>
  <w:style w:type="paragraph" w:customStyle="1" w:styleId="188">
    <w:name w:val="style4"/>
    <w:basedOn w:val="1"/>
    <w:next w:val="189"/>
    <w:qFormat/>
    <w:uiPriority w:val="0"/>
    <w:pPr>
      <w:spacing w:before="280" w:after="280"/>
    </w:pPr>
    <w:rPr>
      <w:rFonts w:ascii="宋体"/>
      <w:sz w:val="18"/>
    </w:rPr>
  </w:style>
  <w:style w:type="paragraph" w:customStyle="1" w:styleId="189">
    <w:name w:val="2"/>
    <w:next w:val="1"/>
    <w:qFormat/>
    <w:uiPriority w:val="0"/>
    <w:pPr>
      <w:widowControl w:val="0"/>
      <w:spacing w:after="160" w:line="278" w:lineRule="auto"/>
      <w:jc w:val="both"/>
    </w:pPr>
    <w:rPr>
      <w:rFonts w:ascii="Times New Roman" w:hAnsi="Times New Roman" w:eastAsia="宋体" w:cs="Times New Roman"/>
      <w:sz w:val="21"/>
      <w:szCs w:val="22"/>
      <w:lang w:val="en-US" w:eastAsia="zh-CN" w:bidi="ar-SA"/>
    </w:rPr>
  </w:style>
  <w:style w:type="paragraph" w:customStyle="1" w:styleId="190">
    <w:name w:val="xl48"/>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91">
    <w:name w:val="Table Paragraph"/>
    <w:basedOn w:val="1"/>
    <w:qFormat/>
    <w:uiPriority w:val="0"/>
    <w:pPr>
      <w:widowControl w:val="0"/>
      <w:jc w:val="left"/>
    </w:pPr>
    <w:rPr>
      <w:rFonts w:hint="default" w:ascii="Calibri" w:hAnsi="Calibri" w:eastAsia="宋体" w:cs="Times New Roman"/>
      <w:color w:val="auto"/>
      <w:kern w:val="0"/>
      <w:sz w:val="22"/>
      <w:szCs w:val="22"/>
      <w:lang w:val="en-US" w:eastAsia="en-US"/>
    </w:rPr>
  </w:style>
  <w:style w:type="paragraph" w:customStyle="1" w:styleId="192">
    <w:name w:val="179"/>
    <w:qFormat/>
    <w:uiPriority w:val="0"/>
    <w:pPr>
      <w:spacing w:after="160" w:line="278" w:lineRule="auto"/>
      <w:ind w:firstLine="420"/>
    </w:pPr>
    <w:rPr>
      <w:rFonts w:hint="eastAsia" w:ascii="Arial Unicode MS" w:hAnsi="Arial Unicode MS" w:eastAsia="Arial Unicode MS" w:cs="Arial Unicode MS"/>
      <w:color w:val="000000"/>
      <w:sz w:val="24"/>
      <w:szCs w:val="24"/>
      <w:lang w:val="en-US" w:eastAsia="zh-CN" w:bidi="ar-SA"/>
    </w:rPr>
  </w:style>
  <w:style w:type="paragraph" w:customStyle="1" w:styleId="193">
    <w:name w:val="xl29"/>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4">
    <w:name w:val="正文_0"/>
    <w:qFormat/>
    <w:uiPriority w:val="99"/>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195">
    <w:name w:val="WPSOffice手动目录 3"/>
    <w:qFormat/>
    <w:uiPriority w:val="0"/>
    <w:pPr>
      <w:spacing w:after="160" w:line="278" w:lineRule="auto"/>
      <w:ind w:left="400" w:leftChars="400"/>
    </w:pPr>
    <w:rPr>
      <w:rFonts w:ascii="Times New Roman" w:hAnsi="Times New Roman" w:eastAsia="宋体" w:cs="Times New Roman"/>
      <w:lang w:val="en-US" w:eastAsia="zh-CN" w:bidi="ar-SA"/>
    </w:rPr>
  </w:style>
  <w:style w:type="paragraph" w:customStyle="1" w:styleId="196">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spacing w:after="160" w:line="278" w:lineRule="auto"/>
      <w:jc w:val="both"/>
    </w:pPr>
    <w:rPr>
      <w:rFonts w:ascii="Calibri" w:hAnsi="Calibri" w:eastAsia="宋体" w:cs="Times New Roman"/>
      <w:kern w:val="2"/>
      <w:sz w:val="21"/>
      <w:lang w:val="en-US" w:eastAsia="zh-CN" w:bidi="ar-SA"/>
    </w:rPr>
  </w:style>
  <w:style w:type="paragraph" w:customStyle="1" w:styleId="197">
    <w:name w:val="xl34"/>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98">
    <w:name w:val="xl35"/>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199">
    <w:name w:val="xl87"/>
    <w:basedOn w:val="1"/>
    <w:next w:val="200"/>
    <w:qFormat/>
    <w:uiPriority w:val="0"/>
    <w:pPr>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0">
    <w:name w:val="xl72"/>
    <w:basedOn w:val="1"/>
    <w:next w:val="27"/>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01">
    <w:name w:val="修订2"/>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02">
    <w:name w:val="xl45"/>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3">
    <w:name w:val="xl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4">
    <w:name w:val="TOC1"/>
    <w:next w:val="1"/>
    <w:qFormat/>
    <w:uiPriority w:val="0"/>
    <w:pPr>
      <w:spacing w:after="160" w:line="278" w:lineRule="auto"/>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05">
    <w:name w:val="_Style 0"/>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06">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7">
    <w:name w:val="WPSOffice手动目录 1"/>
    <w:qFormat/>
    <w:uiPriority w:val="0"/>
    <w:pPr>
      <w:spacing w:after="160" w:line="278" w:lineRule="auto"/>
    </w:pPr>
    <w:rPr>
      <w:rFonts w:ascii="Times New Roman" w:hAnsi="Times New Roman" w:eastAsia="宋体" w:cs="Times New Roman"/>
      <w:lang w:val="en-US" w:eastAsia="zh-CN" w:bidi="ar-SA"/>
    </w:rPr>
  </w:style>
  <w:style w:type="paragraph" w:customStyle="1" w:styleId="208">
    <w:name w:val="正文_13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09">
    <w:name w:val="xl40"/>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10">
    <w:name w:val="xl49"/>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11">
    <w:name w:val="修订4"/>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12">
    <w:name w:val="_Style 2"/>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3">
    <w:name w:val="Char Char10 Char Char Char Char"/>
    <w:basedOn w:val="1"/>
    <w:next w:val="199"/>
    <w:qFormat/>
    <w:uiPriority w:val="0"/>
    <w:rPr>
      <w:rFonts w:ascii="Calibri" w:hAnsi="Calibri"/>
      <w:kern w:val="0"/>
    </w:rPr>
  </w:style>
  <w:style w:type="paragraph" w:customStyle="1" w:styleId="214">
    <w:name w:val="UserStyle_140"/>
    <w:qFormat/>
    <w:uiPriority w:val="0"/>
    <w:pPr>
      <w:spacing w:after="160" w:line="278" w:lineRule="auto"/>
    </w:pPr>
    <w:rPr>
      <w:rFonts w:hint="eastAsia" w:ascii="Arial Unicode MS" w:hAnsi="Arial Unicode MS" w:eastAsia="Arial Unicode MS" w:cs="Arial Unicode MS"/>
      <w:color w:val="000000"/>
      <w:sz w:val="22"/>
      <w:szCs w:val="22"/>
      <w:lang w:val="en-US" w:eastAsia="zh-CN" w:bidi="ar-SA"/>
    </w:rPr>
  </w:style>
  <w:style w:type="paragraph" w:customStyle="1" w:styleId="215">
    <w:name w:val="样式 目录 2 + 左侧:  2 字符"/>
    <w:basedOn w:val="40"/>
    <w:qFormat/>
    <w:uiPriority w:val="0"/>
    <w:pPr>
      <w:widowControl w:val="0"/>
      <w:spacing w:after="0" w:line="440" w:lineRule="exact"/>
      <w:ind w:left="200" w:leftChars="200"/>
      <w:jc w:val="both"/>
    </w:pPr>
    <w:rPr>
      <w:rFonts w:ascii="Times New Roman" w:hAnsi="Times New Roman" w:cs="宋体"/>
      <w:kern w:val="2"/>
      <w:sz w:val="24"/>
      <w:szCs w:val="20"/>
    </w:rPr>
  </w:style>
  <w:style w:type="paragraph" w:customStyle="1" w:styleId="216">
    <w:name w:val="_Style 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217">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18">
    <w:name w:val="xl26"/>
    <w:basedOn w:val="1"/>
    <w:qFormat/>
    <w:uiPriority w:val="0"/>
    <w:pPr>
      <w:spacing w:before="100" w:beforeAutospacing="1" w:after="100" w:afterAutospacing="1"/>
      <w:jc w:val="left"/>
    </w:pPr>
    <w:rPr>
      <w:rFonts w:ascii="仿宋_GB2312" w:hAnsi="宋体" w:eastAsia="仿宋_GB2312" w:cs="Times New Roman"/>
      <w:color w:val="auto"/>
      <w:kern w:val="0"/>
      <w:sz w:val="32"/>
      <w:szCs w:val="32"/>
      <w:lang w:val="en-US" w:eastAsia="zh-CN"/>
    </w:rPr>
  </w:style>
  <w:style w:type="paragraph" w:customStyle="1" w:styleId="219">
    <w:name w:val="Heading4"/>
    <w:next w:val="1"/>
    <w:qFormat/>
    <w:uiPriority w:val="0"/>
    <w:pPr>
      <w:keepNext/>
      <w:keepLines/>
      <w:spacing w:before="280" w:after="290" w:line="372" w:lineRule="auto"/>
      <w:jc w:val="both"/>
    </w:pPr>
    <w:rPr>
      <w:rFonts w:ascii="Arial" w:hAnsi="Arial" w:eastAsia="Arial Unicode MS" w:cs="Arial Unicode MS"/>
      <w:b/>
      <w:bCs/>
      <w:color w:val="000000"/>
      <w:kern w:val="2"/>
      <w:sz w:val="28"/>
      <w:szCs w:val="28"/>
      <w:lang w:val="en-US" w:eastAsia="zh-CN" w:bidi="ar-SA"/>
    </w:rPr>
  </w:style>
  <w:style w:type="paragraph" w:customStyle="1" w:styleId="220">
    <w:name w:val="列出段落2"/>
    <w:basedOn w:val="1"/>
    <w:qFormat/>
    <w:uiPriority w:val="0"/>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221">
    <w:name w:val="xl46"/>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22">
    <w:name w:val="_Style 8"/>
    <w:basedOn w:val="1"/>
    <w:qFormat/>
    <w:uiPriority w:val="0"/>
    <w:pPr>
      <w:ind w:firstLine="420" w:firstLineChars="200"/>
      <w:jc w:val="left"/>
    </w:pPr>
    <w:rPr>
      <w:kern w:val="0"/>
    </w:rPr>
  </w:style>
  <w:style w:type="paragraph" w:customStyle="1" w:styleId="223">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18"/>
      <w:szCs w:val="18"/>
      <w:lang w:val="en-US" w:eastAsia="zh-CN"/>
    </w:rPr>
  </w:style>
  <w:style w:type="paragraph" w:customStyle="1" w:styleId="224">
    <w:name w:val="List Paragraph1"/>
    <w:basedOn w:val="1"/>
    <w:qFormat/>
    <w:uiPriority w:val="1"/>
    <w:pPr>
      <w:widowControl w:val="0"/>
      <w:ind w:firstLine="420" w:firstLineChars="200"/>
    </w:pPr>
    <w:rPr>
      <w:rFonts w:hint="default" w:ascii="Calibri" w:hAnsi="Calibri" w:eastAsia="宋体" w:cs="Times New Roman"/>
      <w:color w:val="auto"/>
      <w:lang w:val="en-US" w:eastAsia="zh-CN"/>
    </w:rPr>
  </w:style>
  <w:style w:type="paragraph" w:customStyle="1" w:styleId="225">
    <w:name w:val="Table Text"/>
    <w:basedOn w:val="1"/>
    <w:semiHidden/>
    <w:qFormat/>
    <w:uiPriority w:val="0"/>
    <w:rPr>
      <w:rFonts w:ascii="微软雅黑" w:hAnsi="微软雅黑" w:eastAsia="微软雅黑" w:cs="微软雅黑"/>
      <w:lang w:val="en-US" w:eastAsia="en-US"/>
    </w:rPr>
  </w:style>
  <w:style w:type="paragraph" w:customStyle="1" w:styleId="226">
    <w:name w:val="小标题"/>
    <w:next w:val="1"/>
    <w:qFormat/>
    <w:uiPriority w:val="0"/>
    <w:pPr>
      <w:keepNext/>
      <w:keepLines/>
      <w:spacing w:before="240" w:after="120" w:line="300" w:lineRule="auto"/>
      <w:jc w:val="center"/>
    </w:pPr>
    <w:rPr>
      <w:rFonts w:ascii="宋体" w:hAnsi="宋体" w:eastAsia="宋体" w:cs="宋体"/>
      <w:b/>
      <w:bCs/>
      <w:color w:val="000000"/>
      <w:kern w:val="44"/>
      <w:sz w:val="32"/>
      <w:szCs w:val="32"/>
      <w:lang w:val="zh-TW" w:eastAsia="zh-TW" w:bidi="ar-SA"/>
    </w:rPr>
  </w:style>
  <w:style w:type="paragraph" w:customStyle="1" w:styleId="227">
    <w:name w:val="font8"/>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228">
    <w:name w:val="纯文本1"/>
    <w:basedOn w:val="1"/>
    <w:qFormat/>
    <w:uiPriority w:val="0"/>
    <w:pPr>
      <w:widowControl w:val="0"/>
    </w:pPr>
    <w:rPr>
      <w:rFonts w:hint="default" w:ascii="宋体" w:hAnsi="Courier New" w:eastAsia="宋体" w:cs="Times New Roman"/>
      <w:color w:val="auto"/>
      <w:kern w:val="0"/>
      <w:sz w:val="20"/>
      <w:szCs w:val="20"/>
      <w:lang w:val="en-US" w:eastAsia="zh-CN"/>
    </w:rPr>
  </w:style>
  <w:style w:type="paragraph" w:customStyle="1" w:styleId="229">
    <w:name w:val="不缩进"/>
    <w:basedOn w:val="1"/>
    <w:qFormat/>
    <w:uiPriority w:val="0"/>
    <w:pPr>
      <w:widowControl w:val="0"/>
      <w:jc w:val="center"/>
    </w:pPr>
    <w:rPr>
      <w:rFonts w:hint="default" w:ascii="仿宋_GB2312" w:hAnsi="宋体" w:eastAsia="仿宋_GB2312" w:cs="Times New Roman"/>
      <w:color w:val="auto"/>
      <w:szCs w:val="24"/>
      <w:lang w:val="en-US" w:eastAsia="zh-CN"/>
    </w:rPr>
  </w:style>
  <w:style w:type="paragraph" w:customStyle="1" w:styleId="230">
    <w:name w:val="小标题 3"/>
    <w:next w:val="158"/>
    <w:qFormat/>
    <w:uiPriority w:val="0"/>
    <w:pPr>
      <w:keepNext/>
      <w:keepLines/>
      <w:spacing w:before="360" w:after="120" w:line="278" w:lineRule="auto"/>
    </w:pPr>
    <w:rPr>
      <w:rFonts w:ascii="宋体" w:hAnsi="宋体" w:eastAsia="宋体" w:cs="宋体"/>
      <w:b/>
      <w:bCs/>
      <w:color w:val="000000"/>
      <w:sz w:val="24"/>
      <w:szCs w:val="24"/>
      <w:u w:val="single" w:color="000000"/>
      <w:lang w:val="en-US" w:eastAsia="zh-CN" w:bidi="ar-SA"/>
    </w:rPr>
  </w:style>
  <w:style w:type="paragraph" w:customStyle="1" w:styleId="231">
    <w:name w:val="PlainText"/>
    <w:qFormat/>
    <w:uiPriority w:val="0"/>
    <w:pPr>
      <w:spacing w:after="160" w:line="278" w:lineRule="auto"/>
      <w:jc w:val="both"/>
    </w:pPr>
    <w:rPr>
      <w:rFonts w:ascii="宋体" w:hAnsi="宋体" w:eastAsia="宋体" w:cs="宋体"/>
      <w:color w:val="000000"/>
      <w:kern w:val="2"/>
      <w:sz w:val="21"/>
      <w:szCs w:val="21"/>
      <w:lang w:val="en-US" w:eastAsia="zh-CN" w:bidi="ar-SA"/>
    </w:rPr>
  </w:style>
  <w:style w:type="paragraph" w:customStyle="1" w:styleId="232">
    <w:name w:val="BodyText"/>
    <w:qFormat/>
    <w:uiPriority w:val="0"/>
    <w:pPr>
      <w:tabs>
        <w:tab w:val="left" w:pos="567"/>
      </w:tabs>
      <w:spacing w:before="120" w:after="160" w:line="240" w:lineRule="atLeast"/>
      <w:jc w:val="both"/>
    </w:pPr>
    <w:rPr>
      <w:rFonts w:ascii="宋体" w:hAnsi="宋体" w:eastAsia="宋体" w:cs="宋体"/>
      <w:color w:val="000000"/>
      <w:kern w:val="2"/>
      <w:sz w:val="24"/>
      <w:szCs w:val="24"/>
      <w:lang w:val="en-US" w:eastAsia="zh-CN" w:bidi="ar-SA"/>
    </w:rPr>
  </w:style>
  <w:style w:type="paragraph" w:customStyle="1" w:styleId="233">
    <w:name w:val="xl25"/>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34">
    <w:name w:val="BodyText1I"/>
    <w:basedOn w:val="232"/>
    <w:qFormat/>
    <w:uiPriority w:val="99"/>
    <w:pPr>
      <w:spacing w:after="120"/>
      <w:ind w:firstLine="420" w:firstLineChars="100"/>
    </w:pPr>
  </w:style>
  <w:style w:type="paragraph" w:customStyle="1" w:styleId="235">
    <w:name w:val="xl36"/>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236">
    <w:name w:val="大标题"/>
    <w:basedOn w:val="1"/>
    <w:next w:val="50"/>
    <w:qFormat/>
    <w:uiPriority w:val="0"/>
    <w:pPr>
      <w:jc w:val="center"/>
    </w:pPr>
    <w:rPr>
      <w:rFonts w:ascii="Arial" w:hAnsi="Arial" w:eastAsia="宋体"/>
      <w:b/>
      <w:sz w:val="28"/>
      <w:szCs w:val="24"/>
    </w:rPr>
  </w:style>
  <w:style w:type="paragraph" w:customStyle="1" w:styleId="237">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hint="default" w:ascii="Courier New" w:hAnsi="Courier New" w:eastAsia="宋体" w:cs="Times New Roman"/>
      <w:color w:val="auto"/>
      <w:kern w:val="0"/>
      <w:sz w:val="20"/>
      <w:szCs w:val="20"/>
      <w:lang w:val="en-US" w:eastAsia="zh-CN"/>
    </w:rPr>
  </w:style>
  <w:style w:type="paragraph" w:customStyle="1" w:styleId="238">
    <w:name w:val="Char1 Char Char Char Char Char Char"/>
    <w:basedOn w:val="1"/>
    <w:qFormat/>
    <w:uiPriority w:val="0"/>
    <w:pPr>
      <w:widowControl w:val="0"/>
    </w:pPr>
    <w:rPr>
      <w:rFonts w:hint="default" w:ascii="Tahoma" w:hAnsi="Tahoma" w:eastAsia="宋体" w:cs="Times New Roman"/>
      <w:color w:val="auto"/>
      <w:sz w:val="24"/>
      <w:szCs w:val="20"/>
      <w:lang w:val="en-US" w:eastAsia="zh-CN"/>
    </w:rPr>
  </w:style>
  <w:style w:type="paragraph" w:customStyle="1" w:styleId="239">
    <w:name w:val="默认段落字体 Para 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40">
    <w:name w:val="页眉与页脚"/>
    <w:qFormat/>
    <w:uiPriority w:val="0"/>
    <w:pPr>
      <w:tabs>
        <w:tab w:val="right" w:pos="9020"/>
      </w:tabs>
      <w:spacing w:after="160" w:line="278" w:lineRule="auto"/>
    </w:pPr>
    <w:rPr>
      <w:rFonts w:ascii="Helvetica Neue" w:hAnsi="Helvetica Neue" w:eastAsia="Arial Unicode MS" w:cs="Arial Unicode MS"/>
      <w:color w:val="000000"/>
      <w:sz w:val="24"/>
      <w:szCs w:val="24"/>
      <w:lang w:val="en-US" w:eastAsia="zh-CN" w:bidi="ar-SA"/>
    </w:rPr>
  </w:style>
  <w:style w:type="paragraph" w:customStyle="1" w:styleId="241">
    <w:name w:val="No Spacing1"/>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242">
    <w:name w:val="xl42"/>
    <w:basedOn w:val="1"/>
    <w:qFormat/>
    <w:uiPriority w:val="0"/>
    <w:pP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43">
    <w:name w:val="索引 11"/>
    <w:basedOn w:val="1"/>
    <w:next w:val="1"/>
    <w:qFormat/>
    <w:uiPriority w:val="0"/>
    <w:pPr>
      <w:widowControl w:val="0"/>
      <w:spacing w:line="360" w:lineRule="auto"/>
    </w:pPr>
    <w:rPr>
      <w:rFonts w:hint="default" w:ascii="仿宋_GB2312" w:hAnsi="Times New Roman" w:eastAsia="仿宋_GB2312" w:cs="Times New Roman"/>
      <w:color w:val="auto"/>
      <w:sz w:val="24"/>
      <w:szCs w:val="20"/>
      <w:lang w:val="en-US" w:eastAsia="zh-CN"/>
    </w:rPr>
  </w:style>
  <w:style w:type="paragraph" w:customStyle="1" w:styleId="244">
    <w:name w:val="正文_5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45">
    <w:name w:val="xl43"/>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styleId="246">
    <w:name w:val="List Paragraph"/>
    <w:basedOn w:val="1"/>
    <w:qFormat/>
    <w:uiPriority w:val="34"/>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247">
    <w:name w:val="font5"/>
    <w:basedOn w:val="1"/>
    <w:qFormat/>
    <w:uiPriority w:val="0"/>
    <w:pPr>
      <w:spacing w:before="100" w:beforeAutospacing="1" w:after="100" w:afterAutospacing="1"/>
      <w:jc w:val="left"/>
    </w:pPr>
    <w:rPr>
      <w:rFonts w:ascii="宋体" w:hAnsi="宋体" w:eastAsia="宋体" w:cs="Times New Roman"/>
      <w:color w:val="auto"/>
      <w:kern w:val="0"/>
      <w:sz w:val="18"/>
      <w:szCs w:val="18"/>
      <w:lang w:val="en-US" w:eastAsia="zh-CN"/>
    </w:rPr>
  </w:style>
  <w:style w:type="paragraph" w:customStyle="1" w:styleId="248">
    <w:name w:val="段"/>
    <w:next w:val="1"/>
    <w:qFormat/>
    <w:uiPriority w:val="0"/>
    <w:pPr>
      <w:autoSpaceDE w:val="0"/>
      <w:autoSpaceDN w:val="0"/>
      <w:adjustRightInd w:val="0"/>
      <w:snapToGrid w:val="0"/>
      <w:spacing w:after="160"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49">
    <w:name w:val="UserStyle_112"/>
    <w:qFormat/>
    <w:uiPriority w:val="0"/>
    <w:pPr>
      <w:spacing w:after="160" w:line="278" w:lineRule="auto"/>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50">
    <w:name w:val="xl50"/>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51">
    <w:name w:val="正文_6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252">
    <w:name w:val="No Spacing"/>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table" w:customStyle="1" w:styleId="253">
    <w:name w:val="Table Normal"/>
    <w:qFormat/>
    <w:uiPriority w:val="0"/>
    <w:rPr>
      <w:rFonts w:eastAsia="Arial Unicode MS"/>
    </w:rPr>
    <w:tblPr>
      <w:tblCellMar>
        <w:top w:w="0" w:type="dxa"/>
        <w:left w:w="0" w:type="dxa"/>
        <w:bottom w:w="0" w:type="dxa"/>
        <w:right w:w="0" w:type="dxa"/>
      </w:tblCellMar>
    </w:tblPr>
  </w:style>
  <w:style w:type="table" w:customStyle="1" w:styleId="254">
    <w:name w:val="网格型1"/>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
    <w:name w:val="网格型2"/>
    <w:basedOn w:val="5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
    <w:name w:val="Table Normal1"/>
    <w:unhideWhenUsed/>
    <w:qFormat/>
    <w:uiPriority w:val="2"/>
    <w:tblPr>
      <w:tblCellMar>
        <w:top w:w="0" w:type="dxa"/>
        <w:left w:w="0" w:type="dxa"/>
        <w:bottom w:w="0" w:type="dxa"/>
        <w:right w:w="0" w:type="dxa"/>
      </w:tblCellMar>
    </w:tblPr>
  </w:style>
  <w:style w:type="paragraph" w:customStyle="1" w:styleId="257">
    <w:name w:val="表格"/>
    <w:qFormat/>
    <w:uiPriority w:val="0"/>
    <w:pPr>
      <w:widowControl w:val="0"/>
      <w:spacing w:line="276" w:lineRule="auto"/>
      <w:jc w:val="center"/>
    </w:pPr>
    <w:rPr>
      <w:rFonts w:ascii="宋体" w:hAnsi="宋体" w:eastAsia="宋体" w:cs="Times New Roman"/>
      <w:kern w:val="2"/>
      <w:sz w:val="21"/>
      <w:szCs w:val="22"/>
      <w:lang w:val="en-US" w:eastAsia="zh-CN" w:bidi="ar-SA"/>
    </w:rPr>
  </w:style>
  <w:style w:type="paragraph" w:customStyle="1" w:styleId="258">
    <w:name w:val="修订5"/>
    <w:semiHidden/>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59">
    <w:name w:val="修订6"/>
    <w:semiHidden/>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0">
    <w:name w:val="_Style 258"/>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61">
    <w:name w:val="hover1"/>
    <w:basedOn w:val="53"/>
    <w:qFormat/>
    <w:uiPriority w:val="0"/>
    <w:rPr>
      <w:color w:val="2590EB"/>
    </w:rPr>
  </w:style>
  <w:style w:type="character" w:customStyle="1" w:styleId="262">
    <w:name w:val="hover2"/>
    <w:basedOn w:val="53"/>
    <w:qFormat/>
    <w:uiPriority w:val="0"/>
    <w:rPr>
      <w:color w:val="2590EB"/>
    </w:rPr>
  </w:style>
  <w:style w:type="character" w:customStyle="1" w:styleId="263">
    <w:name w:val="hover3"/>
    <w:basedOn w:val="53"/>
    <w:qFormat/>
    <w:uiPriority w:val="0"/>
  </w:style>
  <w:style w:type="character" w:customStyle="1" w:styleId="264">
    <w:name w:val="hover4"/>
    <w:basedOn w:val="53"/>
    <w:qFormat/>
    <w:uiPriority w:val="0"/>
    <w:rPr>
      <w:color w:val="2590EB"/>
      <w:shd w:val="clear" w:color="auto" w:fill="E9F4FD"/>
    </w:rPr>
  </w:style>
  <w:style w:type="character" w:customStyle="1" w:styleId="265">
    <w:name w:val="font11"/>
    <w:basedOn w:val="53"/>
    <w:qFormat/>
    <w:uiPriority w:val="0"/>
    <w:rPr>
      <w:rFonts w:hint="eastAsia" w:ascii="仿宋_GB2312" w:eastAsia="仿宋_GB2312" w:cs="仿宋_GB2312"/>
      <w:color w:val="000000"/>
      <w:sz w:val="20"/>
      <w:szCs w:val="20"/>
      <w:u w:val="none"/>
    </w:rPr>
  </w:style>
  <w:style w:type="character" w:customStyle="1" w:styleId="266">
    <w:name w:val="hover"/>
    <w:basedOn w:val="53"/>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115</Pages>
  <Words>16996</Words>
  <Characters>18159</Characters>
  <Lines>470</Lines>
  <Paragraphs>132</Paragraphs>
  <TotalTime>3</TotalTime>
  <ScaleCrop>false</ScaleCrop>
  <LinksUpToDate>false</LinksUpToDate>
  <CharactersWithSpaces>18844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2024-11-22T01:41:00Z</dcterms:created>
  <dc:creator>NTKO</dc:creator>
  <cp:lastModifiedBy>采桑</cp:lastModifiedBy>
  <cp:lastPrinted>2024-07-29T16:23:00Z</cp:lastPrinted>
  <dcterms:modified xsi:type="dcterms:W3CDTF">2024-12-10T09:51:54Z</dcterms:modified>
  <dc:title>郑州铁路职业技术学院新建学生宿舍组团三北楼内部基础设备采购项目</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B870B3587E774B09B92F1E4C3CD6F52F_13</vt:lpwstr>
  </property>
</Properties>
</file>